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方正小标宋_GBK" w:hAnsi="Times New Roman" w:eastAsia="方正小标宋_GBK" w:cs="Times New Roman"/>
          <w:bCs/>
          <w:sz w:val="44"/>
          <w:szCs w:val="44"/>
          <w:lang w:val="en-US" w:eastAsia="zh-CN"/>
        </w:rPr>
      </w:pPr>
      <w:r>
        <w:rPr>
          <w:rFonts w:hint="eastAsia" w:ascii="方正小标宋_GBK" w:hAnsi="Times New Roman" w:eastAsia="方正小标宋_GBK" w:cs="Times New Roman"/>
          <w:bCs/>
          <w:sz w:val="44"/>
          <w:szCs w:val="44"/>
          <w:lang w:val="en-US" w:eastAsia="zh-CN"/>
        </w:rPr>
        <w:t>中共井陉县委机构编制委员会办公室</w:t>
      </w:r>
    </w:p>
    <w:p>
      <w:pPr>
        <w:adjustRightInd w:val="0"/>
        <w:snapToGrid w:val="0"/>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202</w:t>
      </w:r>
      <w:r>
        <w:rPr>
          <w:rFonts w:hint="eastAsia" w:ascii="方正小标宋_GBK" w:hAnsi="Times New Roman" w:eastAsia="方正小标宋_GBK" w:cs="Times New Roman"/>
          <w:bCs/>
          <w:sz w:val="44"/>
          <w:szCs w:val="44"/>
          <w:lang w:val="en-US" w:eastAsia="zh-CN"/>
        </w:rPr>
        <w:t>2</w:t>
      </w:r>
      <w:r>
        <w:rPr>
          <w:rFonts w:hint="eastAsia" w:ascii="方正小标宋_GBK" w:hAnsi="Times New Roman" w:eastAsia="方正小标宋_GBK" w:cs="Times New Roman"/>
          <w:bCs/>
          <w:sz w:val="44"/>
          <w:szCs w:val="44"/>
        </w:rPr>
        <w:t>年部门预算信息公开情况说明</w:t>
      </w:r>
    </w:p>
    <w:p>
      <w:pPr>
        <w:ind w:firstLine="640"/>
        <w:rPr>
          <w:rFonts w:ascii="Times New Roman" w:hAnsi="Times New Roman" w:eastAsia="仿宋" w:cs="Times New Roman"/>
          <w:sz w:val="32"/>
          <w:szCs w:val="32"/>
        </w:rPr>
      </w:pP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按照《预算法》、《地方预决算公开操作规程》和《</w:t>
      </w:r>
      <w:r>
        <w:rPr>
          <w:rFonts w:hint="eastAsia" w:ascii="Times New Roman" w:hAnsi="Times New Roman" w:eastAsia="仿宋" w:cs="Times New Roman"/>
          <w:sz w:val="32"/>
          <w:szCs w:val="32"/>
          <w:lang w:val="en-US" w:eastAsia="zh-CN"/>
        </w:rPr>
        <w:t>河北省省</w:t>
      </w:r>
      <w:r>
        <w:rPr>
          <w:rFonts w:hint="eastAsia" w:ascii="Times New Roman" w:hAnsi="Times New Roman" w:eastAsia="仿宋" w:cs="Times New Roman"/>
          <w:sz w:val="32"/>
          <w:szCs w:val="32"/>
        </w:rPr>
        <w:t>级预算公开办法》</w:t>
      </w:r>
      <w:r>
        <w:rPr>
          <w:rFonts w:hint="eastAsia" w:ascii="Times New Roman" w:hAnsi="Times New Roman" w:eastAsia="仿宋" w:cs="Times New Roman"/>
          <w:sz w:val="32"/>
          <w:szCs w:val="32"/>
          <w:lang w:eastAsia="zh-CN"/>
        </w:rPr>
        <w:t>等有关</w:t>
      </w:r>
      <w:r>
        <w:rPr>
          <w:rFonts w:hint="eastAsia" w:ascii="Times New Roman" w:hAnsi="Times New Roman" w:eastAsia="仿宋" w:cs="Times New Roman"/>
          <w:sz w:val="32"/>
          <w:szCs w:val="32"/>
        </w:rPr>
        <w:t>规定，现将</w:t>
      </w:r>
      <w:r>
        <w:rPr>
          <w:rFonts w:hint="eastAsia" w:ascii="Times New Roman" w:hAnsi="Times New Roman" w:eastAsia="仿宋" w:cs="Times New Roman"/>
          <w:sz w:val="32"/>
          <w:szCs w:val="32"/>
          <w:lang w:val="en-US" w:eastAsia="zh-CN"/>
        </w:rPr>
        <w:t>中共井陉县委机构编制委员会办公室</w:t>
      </w: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年部门预算公开如下：</w:t>
      </w:r>
    </w:p>
    <w:p>
      <w:pPr>
        <w:ind w:firstLine="640"/>
        <w:rPr>
          <w:rFonts w:hint="eastAsia"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rPr>
          <w:rFonts w:hint="eastAsia" w:ascii="仿宋" w:hAnsi="仿宋" w:eastAsia="仿宋" w:cs="仿宋"/>
          <w:sz w:val="32"/>
          <w:szCs w:val="32"/>
        </w:rPr>
      </w:pPr>
      <w:r>
        <w:rPr>
          <w:rFonts w:hint="eastAsia" w:ascii="仿宋" w:hAnsi="仿宋" w:eastAsia="仿宋" w:cs="仿宋"/>
          <w:sz w:val="32"/>
          <w:szCs w:val="32"/>
        </w:rPr>
        <w:t>部门职责：中共井陉县委机构编制委员会办公室（简称县委编办）为县委机构编制委员会的办事机构，承担县委机构编制委员会日常工作，行使下列职权：</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一）贯彻落实党中央和省委、市委、县委关于行政管理体制和机构改革以及机构编制管理的政策法规。管理和指导全县县纪委监委机关及其派驻纪检监察组、县委各机关、县人大机关、县政府各部门、县政协机关、人民团体县级机关（以下简称“党政群机关”），以及事业单位机构编制工作。组织开展行政管理体制改革、事业单位管理体制改革及机构编制工作基础性、创新性和前瞻性研究。</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（二）组织拟订全县行政管理体制改革和县委、县政府机构改革方案并组织实施。负责全县行政管理体制和机构改革以及机构编制管理工作；负责行政执法体制改革工作。</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三）按照规定权限，负责县级党政群机关以及部门派出机构的职能配置、机构设置、人员编制和领导职数管理工作；负责协调县委、县政府各部门职能配置及其调整，协调县委、县政府各部门之间以及县直部门与乡镇之间职责分工；负责需要承办的省以下垂直管理部门或双重管理部门（单位）机构编制有关工作。</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四）组织拟订全县事业单位管理体制改革和机构改革方案。拟订各类事业单位人员编制管理办法并组织实施。按照规定权限，负责县委、县政府直属事业单位和县直部门所属事业单位的职能配置、机构设置、人员编制和领导职数管理工作。</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（五）负责全县党政群机关统一社会信用代码赋码管理工作，负责全县事业单位法人登记管理和监督检查工作。</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（六）负责县开发区（园区）行政管理体制改革工作。贯彻落实省、市开发区（园区）机构编制管理办法；负责全县省级以上开发区（园区）职能配置、机构设置、人员编制和领导职数审核及上报工作。</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七）负责全县机构编制的总量控制、动态管理。组织拟订县本级年度编制使用计划，审核县直及乡镇机关事业单位招录、招聘和政策性安置等计划；负责县直机关事业单位编制使用核准；负责机构编制实名制管理工作；建立健全机构编制部门与有关部门的协调配合约束机制。</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八）负责跟踪评估、监督检查全县各级行政、事业单位管理体制改革、机构改革及机构编制政策执行情况；负责受理违反机构编制法规、纪律的检举、控告和投诉，对违反机构编制法规、纪律问题进行调查处理。</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（九）负责全县机构编制电子政务和信息化工作。负责全县机构编制统计工作；负责机构编制网站的管理、使用和维护；负责党政群机关、事业单位和其他非营利性单位网上名称管理工作。</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（十）完成县委、县政府和县委机构编制委员会交办的其他任务。</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（十一）有关职责分工。</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县委编办负责全县公益类事业单位管理体制改革工作。县发展和改革委员会负责生产经营类事业单位管理体制改革工作。</w:t>
      </w:r>
    </w:p>
    <w:p>
      <w:pPr>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机构设置：</w:t>
      </w:r>
    </w:p>
    <w:p>
      <w:pPr>
        <w:jc w:val="center"/>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部门机构设置情况</w:t>
      </w:r>
    </w:p>
    <w:tbl>
      <w:tblPr>
        <w:tblStyle w:val="7"/>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98"/>
        <w:gridCol w:w="1066"/>
        <w:gridCol w:w="1150"/>
        <w:gridCol w:w="26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898" w:type="dxa"/>
            <w:vAlign w:val="center"/>
          </w:tcPr>
          <w:p>
            <w:pPr>
              <w:spacing w:line="300" w:lineRule="exact"/>
              <w:jc w:val="center"/>
              <w:outlineLvl w:val="0"/>
              <w:rPr>
                <w:rFonts w:ascii="Times New Roman" w:hAnsi="Times New Roman" w:cs="Times New Roman"/>
                <w:szCs w:val="24"/>
              </w:rPr>
            </w:pPr>
            <w:r>
              <w:rPr>
                <w:rFonts w:hint="eastAsia" w:ascii="Times New Roman" w:hAnsi="Times New Roman" w:eastAsia="方正书宋_GBK" w:cs="Times New Roman"/>
                <w:b/>
                <w:szCs w:val="24"/>
              </w:rPr>
              <w:t>单位名称</w:t>
            </w:r>
          </w:p>
        </w:tc>
        <w:tc>
          <w:tcPr>
            <w:tcW w:w="1066" w:type="dxa"/>
            <w:vAlign w:val="center"/>
          </w:tcPr>
          <w:p>
            <w:pPr>
              <w:spacing w:line="300" w:lineRule="exact"/>
              <w:jc w:val="left"/>
              <w:outlineLvl w:val="0"/>
              <w:rPr>
                <w:rFonts w:ascii="Times New Roman" w:hAnsi="Times New Roman" w:cs="Times New Roman"/>
                <w:szCs w:val="24"/>
              </w:rPr>
            </w:pPr>
            <w:r>
              <w:rPr>
                <w:rFonts w:hint="eastAsia" w:ascii="Times New Roman" w:hAnsi="Times New Roman" w:eastAsia="方正书宋_GBK" w:cs="Times New Roman"/>
                <w:b/>
                <w:szCs w:val="24"/>
              </w:rPr>
              <w:t>单位性质</w:t>
            </w:r>
          </w:p>
        </w:tc>
        <w:tc>
          <w:tcPr>
            <w:tcW w:w="1150" w:type="dxa"/>
            <w:vAlign w:val="center"/>
          </w:tcPr>
          <w:p>
            <w:pPr>
              <w:spacing w:line="300" w:lineRule="exact"/>
              <w:jc w:val="left"/>
              <w:outlineLvl w:val="0"/>
              <w:rPr>
                <w:rFonts w:ascii="Times New Roman" w:hAnsi="Times New Roman" w:cs="Times New Roman"/>
                <w:szCs w:val="24"/>
              </w:rPr>
            </w:pPr>
            <w:r>
              <w:rPr>
                <w:rFonts w:hint="eastAsia" w:ascii="Times New Roman" w:hAnsi="Times New Roman" w:eastAsia="方正书宋_GBK" w:cs="Times New Roman"/>
                <w:b/>
                <w:szCs w:val="24"/>
              </w:rPr>
              <w:t>单位规格</w:t>
            </w:r>
          </w:p>
        </w:tc>
        <w:tc>
          <w:tcPr>
            <w:tcW w:w="2615" w:type="dxa"/>
            <w:vAlign w:val="center"/>
          </w:tcPr>
          <w:p>
            <w:pPr>
              <w:spacing w:line="300" w:lineRule="exact"/>
              <w:jc w:val="center"/>
              <w:outlineLvl w:val="0"/>
              <w:rPr>
                <w:rFonts w:ascii="Times New Roman" w:hAnsi="Times New Roman" w:cs="Times New Roman"/>
                <w:szCs w:val="24"/>
              </w:rPr>
            </w:pPr>
            <w:r>
              <w:rPr>
                <w:rFonts w:hint="eastAsia"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7" w:hRule="atLeast"/>
          <w:jc w:val="center"/>
        </w:trPr>
        <w:tc>
          <w:tcPr>
            <w:tcW w:w="4898" w:type="dxa"/>
            <w:vAlign w:val="center"/>
          </w:tcPr>
          <w:p>
            <w:pPr>
              <w:spacing w:line="300" w:lineRule="exact"/>
              <w:jc w:val="left"/>
              <w:rPr>
                <w:rFonts w:hint="default" w:ascii="Times New Roman" w:hAnsi="Times New Roman" w:eastAsia="方正书宋_GBK" w:cs="Times New Roman"/>
                <w:szCs w:val="24"/>
                <w:lang w:val="en-US" w:eastAsia="zh-CN"/>
              </w:rPr>
            </w:pPr>
            <w:r>
              <w:rPr>
                <w:rFonts w:hint="eastAsia" w:ascii="方正书宋_GBK" w:eastAsia="方正书宋_GBK"/>
                <w:lang w:val="en-US" w:eastAsia="zh-CN"/>
              </w:rPr>
              <w:t>中共井陉县委机构编制委员会办公室</w:t>
            </w:r>
          </w:p>
        </w:tc>
        <w:tc>
          <w:tcPr>
            <w:tcW w:w="106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150"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w:t>
            </w:r>
            <w:r>
              <w:rPr>
                <w:rFonts w:hint="eastAsia" w:ascii="方正书宋_GBK" w:eastAsia="方正书宋_GBK"/>
                <w:lang w:val="en-US" w:eastAsia="zh-CN"/>
              </w:rPr>
              <w:t>科</w:t>
            </w:r>
            <w:r>
              <w:rPr>
                <w:rFonts w:hint="eastAsia" w:ascii="方正书宋_GBK" w:eastAsia="方正书宋_GBK"/>
              </w:rPr>
              <w:t>级</w:t>
            </w:r>
          </w:p>
        </w:tc>
        <w:tc>
          <w:tcPr>
            <w:tcW w:w="2615"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4898" w:type="dxa"/>
            <w:vAlign w:val="center"/>
          </w:tcPr>
          <w:p>
            <w:pPr>
              <w:spacing w:line="300" w:lineRule="exact"/>
              <w:jc w:val="left"/>
              <w:rPr>
                <w:rFonts w:hint="default" w:ascii="Times New Roman" w:hAnsi="Times New Roman" w:eastAsia="方正书宋_GBK" w:cs="Times New Roman"/>
                <w:szCs w:val="24"/>
                <w:lang w:val="en-US" w:eastAsia="zh-CN"/>
              </w:rPr>
            </w:pPr>
            <w:r>
              <w:rPr>
                <w:rFonts w:hint="eastAsia" w:ascii="方正书宋_GBK" w:eastAsia="方正书宋_GBK"/>
                <w:lang w:val="en-US" w:eastAsia="zh-CN"/>
              </w:rPr>
              <w:t>中共井陉县委机构编制委员会办公室电子政务中心</w:t>
            </w:r>
          </w:p>
        </w:tc>
        <w:tc>
          <w:tcPr>
            <w:tcW w:w="106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150"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lang w:val="en-US" w:eastAsia="zh-CN"/>
              </w:rPr>
              <w:t>副科</w:t>
            </w:r>
            <w:r>
              <w:rPr>
                <w:rFonts w:hint="eastAsia" w:ascii="方正书宋_GBK" w:eastAsia="方正书宋_GBK"/>
              </w:rPr>
              <w:t>级</w:t>
            </w:r>
          </w:p>
        </w:tc>
        <w:tc>
          <w:tcPr>
            <w:tcW w:w="2615"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按照预算管理有关规定，目前我</w:t>
      </w:r>
      <w:r>
        <w:rPr>
          <w:rFonts w:hint="eastAsia" w:ascii="Times New Roman" w:hAnsi="Times New Roman" w:eastAsia="仿宋" w:cs="Times New Roman"/>
          <w:sz w:val="32"/>
          <w:szCs w:val="32"/>
          <w:lang w:val="en-US" w:eastAsia="zh-CN"/>
        </w:rPr>
        <w:t>县</w:t>
      </w:r>
      <w:r>
        <w:rPr>
          <w:rFonts w:ascii="Times New Roman" w:hAnsi="Times New Roman" w:eastAsia="仿宋" w:cs="Times New Roman"/>
          <w:sz w:val="32"/>
          <w:szCs w:val="32"/>
        </w:rPr>
        <w:t>部门预算的编制实行综合预算</w:t>
      </w:r>
      <w:r>
        <w:rPr>
          <w:rFonts w:hint="eastAsia" w:ascii="Times New Roman" w:hAnsi="Times New Roman" w:eastAsia="仿宋" w:cs="Times New Roman"/>
          <w:sz w:val="32"/>
          <w:szCs w:val="32"/>
        </w:rPr>
        <w:t>管理</w:t>
      </w:r>
      <w:r>
        <w:rPr>
          <w:rFonts w:ascii="Times New Roman" w:hAnsi="Times New Roman" w:eastAsia="仿宋" w:cs="Times New Roman"/>
          <w:sz w:val="32"/>
          <w:szCs w:val="32"/>
        </w:rPr>
        <w:t>，即全部收入和支出都反映的预算中。</w:t>
      </w:r>
      <w:r>
        <w:rPr>
          <w:rFonts w:hint="eastAsia" w:ascii="Times New Roman" w:hAnsi="Times New Roman" w:eastAsia="仿宋" w:cs="Times New Roman"/>
          <w:sz w:val="32"/>
          <w:szCs w:val="32"/>
          <w:lang w:val="en-US" w:eastAsia="zh-CN"/>
        </w:rPr>
        <w:t>中共机构编制委员会办公室</w:t>
      </w:r>
      <w:r>
        <w:rPr>
          <w:rFonts w:ascii="Times New Roman" w:hAnsi="Times New Roman" w:eastAsia="仿宋" w:cs="Times New Roman"/>
          <w:sz w:val="32"/>
          <w:szCs w:val="32"/>
        </w:rPr>
        <w:t>及所属事业单位的收支包含在部门预算中。</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收入说明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反映本部门当年全部收入。202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年预算收入</w:t>
      </w:r>
      <w:r>
        <w:rPr>
          <w:rFonts w:hint="eastAsia" w:ascii="Times New Roman" w:hAnsi="Times New Roman" w:eastAsia="仿宋" w:cs="Times New Roman"/>
          <w:sz w:val="32"/>
          <w:szCs w:val="32"/>
          <w:lang w:val="en-US" w:eastAsia="zh-CN"/>
        </w:rPr>
        <w:t>135.99</w:t>
      </w:r>
      <w:r>
        <w:rPr>
          <w:rFonts w:hint="eastAsia" w:ascii="Times New Roman" w:hAnsi="Times New Roman" w:eastAsia="仿宋" w:cs="Times New Roman"/>
          <w:sz w:val="32"/>
          <w:szCs w:val="32"/>
        </w:rPr>
        <w:t>万元，其中：一般公共预算收入</w:t>
      </w:r>
      <w:r>
        <w:rPr>
          <w:rFonts w:hint="eastAsia" w:ascii="Times New Roman" w:hAnsi="Times New Roman" w:eastAsia="仿宋" w:cs="Times New Roman"/>
          <w:sz w:val="32"/>
          <w:szCs w:val="32"/>
          <w:lang w:val="en-US" w:eastAsia="zh-CN"/>
        </w:rPr>
        <w:t>135.99</w:t>
      </w:r>
      <w:r>
        <w:rPr>
          <w:rFonts w:hint="eastAsia" w:ascii="Times New Roman" w:hAnsi="Times New Roman" w:eastAsia="仿宋" w:cs="Times New Roman"/>
          <w:sz w:val="32"/>
          <w:szCs w:val="32"/>
        </w:rPr>
        <w:t>万元，基金预算收入0万元，财政专户核拨收入0万元，其他来源收入0万元。</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支出说明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收支预算总表支出栏、基本支出表、项目支出表按经济分类和支出功能分类科目编制，反映</w:t>
      </w:r>
      <w:r>
        <w:rPr>
          <w:rFonts w:hint="eastAsia" w:ascii="Times New Roman" w:hAnsi="Times New Roman" w:eastAsia="仿宋" w:cs="Times New Roman"/>
          <w:sz w:val="32"/>
          <w:szCs w:val="32"/>
          <w:lang w:val="en-US" w:eastAsia="zh-CN"/>
        </w:rPr>
        <w:t>中共井陉县委机构编制委员会办公室</w:t>
      </w:r>
      <w:r>
        <w:rPr>
          <w:rFonts w:hint="eastAsia" w:ascii="Times New Roman" w:hAnsi="Times New Roman" w:eastAsia="仿宋" w:cs="Times New Roman"/>
          <w:sz w:val="32"/>
          <w:szCs w:val="32"/>
        </w:rPr>
        <w:t>年度部门预算中支出预算的总体情况。202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年部门支出预算为</w:t>
      </w:r>
      <w:r>
        <w:rPr>
          <w:rFonts w:hint="eastAsia" w:ascii="Times New Roman" w:hAnsi="Times New Roman" w:eastAsia="仿宋" w:cs="Times New Roman"/>
          <w:sz w:val="32"/>
          <w:szCs w:val="32"/>
          <w:lang w:val="en-US" w:eastAsia="zh-CN"/>
        </w:rPr>
        <w:t>135.99</w:t>
      </w:r>
      <w:r>
        <w:rPr>
          <w:rFonts w:hint="eastAsia" w:ascii="Times New Roman" w:hAnsi="Times New Roman" w:eastAsia="仿宋" w:cs="Times New Roman"/>
          <w:sz w:val="32"/>
          <w:szCs w:val="32"/>
        </w:rPr>
        <w:t>万元，其中基本支出</w:t>
      </w:r>
      <w:r>
        <w:rPr>
          <w:rFonts w:hint="eastAsia" w:ascii="仿宋_GB2312" w:hAnsi="仿宋" w:eastAsia="仿宋_GB2312" w:cs="Times New Roman"/>
          <w:color w:val="000000"/>
          <w:sz w:val="32"/>
          <w:szCs w:val="32"/>
          <w:u w:val="none"/>
          <w:lang w:val="en-US" w:eastAsia="zh-CN"/>
        </w:rPr>
        <w:t>127.99</w:t>
      </w:r>
      <w:r>
        <w:rPr>
          <w:rFonts w:hint="eastAsia" w:ascii="Times New Roman" w:hAnsi="Times New Roman" w:eastAsia="仿宋" w:cs="Times New Roman"/>
          <w:sz w:val="32"/>
          <w:szCs w:val="32"/>
        </w:rPr>
        <w:t>万元，包括人员经费</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u w:val="none"/>
          <w:lang w:val="en-US" w:eastAsia="zh-CN"/>
        </w:rPr>
        <w:t>115.64</w:t>
      </w:r>
      <w:r>
        <w:rPr>
          <w:rFonts w:hint="eastAsia" w:ascii="Times New Roman" w:hAnsi="Times New Roman" w:eastAsia="仿宋" w:cs="Times New Roman"/>
          <w:sz w:val="32"/>
          <w:szCs w:val="32"/>
        </w:rPr>
        <w:t>万元和日常公用经费</w:t>
      </w:r>
      <w:r>
        <w:rPr>
          <w:rFonts w:hint="eastAsia" w:ascii="Times New Roman" w:hAnsi="Times New Roman" w:eastAsia="仿宋" w:cs="Times New Roman"/>
          <w:sz w:val="32"/>
          <w:szCs w:val="32"/>
          <w:lang w:val="en-US" w:eastAsia="zh-CN"/>
        </w:rPr>
        <w:t>12.35</w:t>
      </w:r>
      <w:r>
        <w:rPr>
          <w:rFonts w:hint="eastAsia" w:ascii="Times New Roman" w:hAnsi="Times New Roman" w:eastAsia="仿宋" w:cs="Times New Roman"/>
          <w:sz w:val="32"/>
          <w:szCs w:val="32"/>
        </w:rPr>
        <w:t>万元；项目支出</w:t>
      </w:r>
      <w:r>
        <w:rPr>
          <w:rFonts w:hint="eastAsia" w:ascii="Times New Roman" w:hAnsi="Times New Roman" w:eastAsia="仿宋" w:cs="Times New Roman"/>
          <w:sz w:val="32"/>
          <w:szCs w:val="32"/>
          <w:lang w:val="en-US" w:eastAsia="zh-CN"/>
        </w:rPr>
        <w:t>8</w:t>
      </w:r>
      <w:r>
        <w:rPr>
          <w:rFonts w:hint="eastAsia" w:ascii="Times New Roman" w:hAnsi="Times New Roman" w:eastAsia="仿宋" w:cs="Times New Roman"/>
          <w:sz w:val="32"/>
          <w:szCs w:val="32"/>
        </w:rPr>
        <w:t>万元，主要</w:t>
      </w:r>
      <w:r>
        <w:rPr>
          <w:rFonts w:hint="eastAsia" w:ascii="Times New Roman" w:hAnsi="Times New Roman" w:eastAsia="仿宋" w:cs="Times New Roman"/>
          <w:sz w:val="32"/>
          <w:szCs w:val="32"/>
          <w:lang w:val="en-US" w:eastAsia="zh-CN"/>
        </w:rPr>
        <w:t>为中文域名费支出等，</w:t>
      </w:r>
      <w:r>
        <w:rPr>
          <w:rFonts w:hint="eastAsia" w:ascii="Times New Roman" w:hAnsi="Times New Roman" w:eastAsia="仿宋" w:cs="Times New Roman"/>
          <w:sz w:val="32"/>
          <w:szCs w:val="32"/>
        </w:rPr>
        <w:t>其他支出0万元。</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比上年增减情况</w:t>
      </w:r>
    </w:p>
    <w:p>
      <w:pPr>
        <w:autoSpaceDE w:val="0"/>
        <w:autoSpaceDN w:val="0"/>
        <w:adjustRightInd w:val="0"/>
        <w:ind w:firstLine="960" w:firstLineChars="300"/>
        <w:jc w:val="left"/>
        <w:rPr>
          <w:rFonts w:hint="eastAsia" w:ascii="黑体" w:hAnsi="黑体" w:eastAsia="黑体" w:cs="Times New Roman"/>
          <w:b w:val="0"/>
          <w:bCs w:val="0"/>
          <w:sz w:val="32"/>
          <w:szCs w:val="32"/>
          <w:lang w:val="en-US" w:eastAsia="zh-CN"/>
        </w:rPr>
      </w:pPr>
      <w:r>
        <w:rPr>
          <w:rFonts w:hint="eastAsia" w:ascii="Times New Roman" w:hAnsi="Times New Roman" w:eastAsia="仿宋" w:cs="Times New Roman"/>
          <w:sz w:val="32"/>
          <w:szCs w:val="32"/>
          <w:lang w:val="en-US" w:eastAsia="zh-CN"/>
        </w:rPr>
        <w:t>与上年比人员经费增加，主要原因是人员调入</w:t>
      </w:r>
      <w:r>
        <w:rPr>
          <w:rFonts w:hint="eastAsia" w:ascii="黑体" w:hAnsi="黑体" w:eastAsia="黑体" w:cs="Times New Roman"/>
          <w:b w:val="0"/>
          <w:bCs w:val="0"/>
          <w:sz w:val="32"/>
          <w:szCs w:val="32"/>
          <w:lang w:val="en-US" w:eastAsia="zh-CN"/>
        </w:rPr>
        <w:t>。</w:t>
      </w: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firstLine="960" w:firstLineChars="300"/>
        <w:jc w:val="left"/>
        <w:rPr>
          <w:rFonts w:hint="default" w:ascii="黑体" w:hAnsi="黑体" w:eastAsia="黑体" w:cs="Times New Roman"/>
          <w:b w:val="0"/>
          <w:bCs w:val="0"/>
          <w:sz w:val="32"/>
          <w:szCs w:val="32"/>
          <w:lang w:val="en-US" w:eastAsia="zh-CN"/>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年，我部门机关运行经费共计安排</w:t>
      </w:r>
      <w:r>
        <w:rPr>
          <w:rFonts w:hint="eastAsia" w:ascii="Times New Roman" w:hAnsi="Times New Roman" w:eastAsia="仿宋" w:cs="Times New Roman"/>
          <w:sz w:val="32"/>
          <w:szCs w:val="32"/>
          <w:lang w:val="en-US" w:eastAsia="zh-CN"/>
        </w:rPr>
        <w:t>12.35</w:t>
      </w:r>
      <w:r>
        <w:rPr>
          <w:rFonts w:hint="eastAsia" w:ascii="Times New Roman" w:hAnsi="Times New Roman" w:eastAsia="仿宋" w:cs="Times New Roman"/>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r>
        <w:rPr>
          <w:rFonts w:hint="eastAsia" w:ascii="Times New Roman" w:hAnsi="Times New Roman" w:eastAsia="仿宋" w:cs="Times New Roman"/>
          <w:sz w:val="32"/>
          <w:szCs w:val="32"/>
          <w:lang w:eastAsia="zh-CN"/>
        </w:rPr>
        <w:t>较</w:t>
      </w:r>
      <w:r>
        <w:rPr>
          <w:rFonts w:hint="eastAsia" w:ascii="Times New Roman" w:hAnsi="Times New Roman" w:eastAsia="仿宋" w:cs="Times New Roman"/>
          <w:sz w:val="32"/>
          <w:szCs w:val="32"/>
          <w:lang w:val="en-US" w:eastAsia="zh-CN"/>
        </w:rPr>
        <w:t>2021年增长7.4%，主要原因是人员增加。</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firstLine="960" w:firstLineChars="30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年，我部门财政拨款“三公”经费预算安排</w:t>
      </w:r>
      <w:r>
        <w:rPr>
          <w:rFonts w:hint="eastAsia" w:ascii="Times New Roman" w:hAnsi="Times New Roman" w:eastAsia="仿宋" w:cs="Times New Roman"/>
          <w:sz w:val="32"/>
          <w:szCs w:val="32"/>
          <w:lang w:val="en-US" w:eastAsia="zh-CN"/>
        </w:rPr>
        <w:t>1.45</w:t>
      </w:r>
      <w:r>
        <w:rPr>
          <w:rFonts w:hint="eastAsia" w:ascii="Times New Roman" w:hAnsi="Times New Roman" w:eastAsia="仿宋" w:cs="Times New Roman"/>
          <w:sz w:val="32"/>
          <w:szCs w:val="32"/>
        </w:rPr>
        <w:t>万元，其中：因公出国（境）费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万元；公务用车购置及运维费</w:t>
      </w:r>
      <w:r>
        <w:rPr>
          <w:rFonts w:hint="eastAsia" w:ascii="Times New Roman" w:hAnsi="Times New Roman" w:eastAsia="仿宋" w:cs="Times New Roman"/>
          <w:sz w:val="32"/>
          <w:szCs w:val="32"/>
          <w:lang w:val="en-US" w:eastAsia="zh-CN"/>
        </w:rPr>
        <w:t>1.45</w:t>
      </w:r>
      <w:r>
        <w:rPr>
          <w:rFonts w:hint="eastAsia" w:ascii="Times New Roman" w:hAnsi="Times New Roman" w:eastAsia="仿宋" w:cs="Times New Roman"/>
          <w:sz w:val="32"/>
          <w:szCs w:val="32"/>
        </w:rPr>
        <w:t>万元（其中：公务用车购置费0万元，公务用车运行维护费</w:t>
      </w:r>
      <w:r>
        <w:rPr>
          <w:rFonts w:hint="eastAsia" w:ascii="Times New Roman" w:hAnsi="Times New Roman" w:eastAsia="仿宋" w:cs="Times New Roman"/>
          <w:sz w:val="32"/>
          <w:szCs w:val="32"/>
          <w:lang w:val="en-US" w:eastAsia="zh-CN"/>
        </w:rPr>
        <w:t>1.45</w:t>
      </w:r>
      <w:r>
        <w:rPr>
          <w:rFonts w:hint="eastAsia" w:ascii="Times New Roman" w:hAnsi="Times New Roman" w:eastAsia="仿宋" w:cs="Times New Roman"/>
          <w:sz w:val="32"/>
          <w:szCs w:val="32"/>
        </w:rPr>
        <w:t>万元)；公务接待费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万元。“三公”经费</w:t>
      </w:r>
      <w:r>
        <w:rPr>
          <w:rFonts w:hint="eastAsia" w:ascii="Times New Roman" w:hAnsi="Times New Roman" w:eastAsia="仿宋" w:cs="Times New Roman"/>
          <w:sz w:val="32"/>
          <w:szCs w:val="32"/>
          <w:lang w:eastAsia="zh-CN"/>
        </w:rPr>
        <w:t>较</w:t>
      </w:r>
      <w:r>
        <w:rPr>
          <w:rFonts w:hint="eastAsia" w:ascii="Times New Roman" w:hAnsi="Times New Roman" w:eastAsia="仿宋" w:cs="Times New Roman"/>
          <w:sz w:val="32"/>
          <w:szCs w:val="32"/>
          <w:lang w:val="en-US" w:eastAsia="zh-CN"/>
        </w:rPr>
        <w:t>2020年降低，主要原因是机关厉行节俭。</w:t>
      </w:r>
    </w:p>
    <w:p>
      <w:pPr>
        <w:autoSpaceDE w:val="0"/>
        <w:autoSpaceDN w:val="0"/>
        <w:adjustRightInd w:val="0"/>
        <w:ind w:left="198" w:firstLine="640" w:firstLineChars="200"/>
        <w:jc w:val="left"/>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五、预算绩效信息</w:t>
      </w:r>
    </w:p>
    <w:p>
      <w:pPr>
        <w:autoSpaceDE w:val="0"/>
        <w:autoSpaceDN w:val="0"/>
        <w:adjustRightInd w:val="0"/>
        <w:ind w:firstLine="960" w:firstLineChars="300"/>
        <w:jc w:val="left"/>
        <w:rPr>
          <w:rFonts w:hint="eastAsia" w:ascii="Times New Roman" w:hAnsi="Times New Roman" w:eastAsia="仿宋" w:cs="Times New Roman"/>
          <w:sz w:val="32"/>
          <w:szCs w:val="32"/>
        </w:rPr>
      </w:pPr>
      <w:bookmarkStart w:id="0" w:name="_Toc471398463"/>
      <w:r>
        <w:rPr>
          <w:rFonts w:hint="eastAsia" w:ascii="Times New Roman" w:hAnsi="Times New Roman" w:eastAsia="仿宋" w:cs="Times New Roman"/>
          <w:sz w:val="32"/>
          <w:szCs w:val="32"/>
        </w:rPr>
        <w:t>第一部分  部门整体绩效目标</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一</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总体绩效目标</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围绕县委、县政府中心工作，积极谋划、主动创新，按时保质完成各项工作任务：</w:t>
      </w:r>
    </w:p>
    <w:p>
      <w:pPr>
        <w:autoSpaceDE w:val="0"/>
        <w:autoSpaceDN w:val="0"/>
        <w:adjustRightInd w:val="0"/>
        <w:ind w:firstLine="960" w:firstLineChars="3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持续巩固深化党政机构改革成果。及时跟进市级“三定”规定制定或调整情况，相应调整县直相关部门职能，适时启动人大、政协和群团机关三定”规定制定工作；主动对新组建调整部门职能运行情况进行跟踪评估，及时发现问题，适时调整优化。</w:t>
      </w:r>
    </w:p>
    <w:p>
      <w:pPr>
        <w:autoSpaceDE w:val="0"/>
        <w:autoSpaceDN w:val="0"/>
        <w:adjustRightInd w:val="0"/>
        <w:ind w:firstLine="960" w:firstLineChars="3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进一步推进机关事业单位人事管理“一网通办”改革。按照上级统一排，依托县委组织部干部信息综合管理平台，构建机关事业单位人事管理信息共享平台。完善编制使用核准办理制度，进一步优化办理流程，提高工效率。</w:t>
      </w:r>
    </w:p>
    <w:p>
      <w:pPr>
        <w:autoSpaceDE w:val="0"/>
        <w:autoSpaceDN w:val="0"/>
        <w:adjustRightInd w:val="0"/>
        <w:ind w:firstLine="960" w:firstLineChars="3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3、持续深化事业单位改革。重点是进一步加大对“小、散、弱”事业单立的撤并整合力度，推进机构职能重塑再造和整体效能提升。</w:t>
      </w:r>
    </w:p>
    <w:p>
      <w:pPr>
        <w:autoSpaceDE w:val="0"/>
        <w:autoSpaceDN w:val="0"/>
        <w:adjustRightInd w:val="0"/>
        <w:ind w:firstLine="960" w:firstLineChars="3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4、持续优化配置机构编制资源。进一步加大动态调整力度，推动编制资源向重点领域、关键环节，特别是民生工程、民心工程和基层一线倾斜。</w:t>
      </w:r>
    </w:p>
    <w:p>
      <w:pPr>
        <w:autoSpaceDE w:val="0"/>
        <w:autoSpaceDN w:val="0"/>
        <w:adjustRightInd w:val="0"/>
        <w:ind w:firstLine="960" w:firstLineChars="3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5、进一步完善、落实全县清单管理制度及动态调整工作。二、分项绩效目标</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（二）分项绩效目标</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持续巩固深化党政机构改革成果。</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绩效目标：</w:t>
      </w:r>
      <w:r>
        <w:rPr>
          <w:rFonts w:hint="eastAsia" w:ascii="Times New Roman" w:hAnsi="Times New Roman" w:eastAsia="仿宋" w:cs="Times New Roman"/>
          <w:sz w:val="32"/>
          <w:szCs w:val="32"/>
          <w:lang w:val="en-US" w:eastAsia="zh-CN"/>
        </w:rPr>
        <w:t>及时跟进市级“三定”规定制定或调整情况，相应调整县直相关部门职能，适时启动人大、政协和群团机关三定”规定制定工作；主动对新组建调整部门职能运行情况进行跟踪评估，及时发现问题，适时调整优化</w:t>
      </w:r>
      <w:r>
        <w:rPr>
          <w:rFonts w:hint="eastAsia" w:ascii="Times New Roman" w:hAnsi="Times New Roman" w:eastAsia="仿宋" w:cs="Times New Roman"/>
          <w:sz w:val="32"/>
          <w:szCs w:val="32"/>
        </w:rPr>
        <w:t>。</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绩效指标：</w:t>
      </w:r>
      <w:r>
        <w:rPr>
          <w:rFonts w:hint="eastAsia" w:ascii="Times New Roman" w:hAnsi="Times New Roman" w:eastAsia="仿宋" w:cs="Times New Roman"/>
          <w:sz w:val="32"/>
          <w:szCs w:val="32"/>
          <w:lang w:val="en-US" w:eastAsia="zh-CN"/>
        </w:rPr>
        <w:t>“三定”规定制定或调整</w:t>
      </w:r>
      <w:r>
        <w:rPr>
          <w:rFonts w:hint="eastAsia" w:ascii="Times New Roman" w:hAnsi="Times New Roman" w:eastAsia="仿宋" w:cs="Times New Roman"/>
          <w:sz w:val="32"/>
          <w:szCs w:val="32"/>
        </w:rPr>
        <w:t>任务完成率。</w:t>
      </w:r>
    </w:p>
    <w:p>
      <w:pPr>
        <w:numPr>
          <w:ilvl w:val="0"/>
          <w:numId w:val="1"/>
        </w:numPr>
        <w:autoSpaceDE w:val="0"/>
        <w:autoSpaceDN w:val="0"/>
        <w:adjustRightInd w:val="0"/>
        <w:ind w:firstLine="960" w:firstLineChars="300"/>
        <w:jc w:val="center"/>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进一步推进机关事业单位人事管理“一网通办”改革。    </w:t>
      </w:r>
    </w:p>
    <w:p>
      <w:pPr>
        <w:numPr>
          <w:numId w:val="0"/>
        </w:numPr>
        <w:autoSpaceDE w:val="0"/>
        <w:autoSpaceDN w:val="0"/>
        <w:adjustRightInd w:val="0"/>
        <w:ind w:firstLine="960" w:firstLineChars="300"/>
        <w:jc w:val="both"/>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绩效目标：</w:t>
      </w:r>
      <w:r>
        <w:rPr>
          <w:rFonts w:hint="eastAsia" w:ascii="Times New Roman" w:hAnsi="Times New Roman" w:eastAsia="仿宋" w:cs="Times New Roman"/>
          <w:sz w:val="32"/>
          <w:szCs w:val="32"/>
          <w:lang w:val="en-US" w:eastAsia="zh-CN"/>
        </w:rPr>
        <w:t>依托县委组织部干部信息综合管理平台，构建机关事业单位人事管理信息共享平台。完善编制使用核准办理制度，进一步优化办理流程，提高工效率。</w:t>
      </w:r>
    </w:p>
    <w:p>
      <w:pPr>
        <w:numPr>
          <w:numId w:val="0"/>
        </w:num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绩效指标：责任清单调整、公开率</w:t>
      </w:r>
    </w:p>
    <w:p>
      <w:pPr>
        <w:autoSpaceDE w:val="0"/>
        <w:autoSpaceDN w:val="0"/>
        <w:adjustRightInd w:val="0"/>
        <w:ind w:firstLine="960" w:firstLineChars="3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持续深化事业单位改革</w:t>
      </w:r>
    </w:p>
    <w:p>
      <w:pPr>
        <w:autoSpaceDE w:val="0"/>
        <w:autoSpaceDN w:val="0"/>
        <w:adjustRightInd w:val="0"/>
        <w:ind w:firstLine="960" w:firstLineChars="30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绩效目标：</w:t>
      </w:r>
      <w:r>
        <w:rPr>
          <w:rFonts w:hint="eastAsia" w:ascii="Times New Roman" w:hAnsi="Times New Roman" w:eastAsia="仿宋" w:cs="Times New Roman"/>
          <w:sz w:val="32"/>
          <w:szCs w:val="32"/>
          <w:lang w:val="en-US" w:eastAsia="zh-CN"/>
        </w:rPr>
        <w:t>进一步加大对“小、散、弱”事业单立的撤并整合力度，推进机构职能重塑再造和整体效能提升。</w:t>
      </w:r>
    </w:p>
    <w:p>
      <w:pPr>
        <w:autoSpaceDE w:val="0"/>
        <w:autoSpaceDN w:val="0"/>
        <w:adjustRightInd w:val="0"/>
        <w:ind w:firstLine="960" w:firstLineChars="30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绩效指标：</w:t>
      </w:r>
      <w:r>
        <w:rPr>
          <w:rFonts w:hint="eastAsia" w:ascii="Times New Roman" w:hAnsi="Times New Roman" w:eastAsia="仿宋" w:cs="Times New Roman"/>
          <w:sz w:val="32"/>
          <w:szCs w:val="32"/>
          <w:lang w:val="en-US" w:eastAsia="zh-CN"/>
        </w:rPr>
        <w:t>事业单位设立、撤销、合并变更情况。</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rPr>
        <w:t>中文域名注册工作</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绩效目标：完成中文域名续费工作，继续保持党政机关、事业单位域名注册和网站指标两个“全覆盖”。</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绩效指标：中文域名注册率。</w:t>
      </w:r>
    </w:p>
    <w:p>
      <w:pPr>
        <w:autoSpaceDE w:val="0"/>
        <w:autoSpaceDN w:val="0"/>
        <w:adjustRightInd w:val="0"/>
        <w:ind w:firstLine="960" w:firstLineChars="3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（三）工作保障措施</w:t>
      </w:r>
    </w:p>
    <w:p>
      <w:pPr>
        <w:autoSpaceDE w:val="0"/>
        <w:autoSpaceDN w:val="0"/>
        <w:adjustRightInd w:val="0"/>
        <w:spacing w:line="500" w:lineRule="exact"/>
        <w:ind w:left="200" w:firstLine="560" w:firstLineChars="200"/>
        <w:jc w:val="left"/>
        <w:rPr>
          <w:rFonts w:ascii="Times New Roman" w:eastAsia="方正仿宋_GBK"/>
          <w:sz w:val="28"/>
        </w:rPr>
      </w:pPr>
      <w:r>
        <w:rPr>
          <w:rFonts w:hint="eastAsia" w:ascii="Times New Roman" w:eastAsia="方正仿宋_GBK"/>
          <w:sz w:val="28"/>
        </w:rPr>
        <w:t>1、完善制度建设。将事前评估、目标管理、运行监控、绩效评价、结果应用等各项改革措施，有效融入预算管理的全过程，研究完善</w:t>
      </w:r>
      <w:r>
        <w:rPr>
          <w:rFonts w:hint="eastAsia" w:ascii="Times New Roman" w:eastAsia="方正仿宋_GBK"/>
          <w:sz w:val="28"/>
          <w:lang w:val="en-US" w:eastAsia="zh-CN"/>
        </w:rPr>
        <w:t>县委编办</w:t>
      </w:r>
      <w:r>
        <w:rPr>
          <w:rFonts w:hint="eastAsia" w:ascii="Times New Roman" w:eastAsia="方正仿宋_GBK"/>
          <w:sz w:val="28"/>
        </w:rPr>
        <w:t>预算绩效管理有关制度办法和财务管理规定。建立统筹协调、分工协作、密切配合、合力推进的工作机制，围绕年度总体绩效目标和分项绩效目标，明确责任主体，实施进度要求，确保如期完成。</w:t>
      </w:r>
    </w:p>
    <w:p>
      <w:pPr>
        <w:autoSpaceDE w:val="0"/>
        <w:autoSpaceDN w:val="0"/>
        <w:adjustRightInd w:val="0"/>
        <w:spacing w:line="500" w:lineRule="exact"/>
        <w:ind w:left="200" w:firstLine="560" w:firstLineChars="200"/>
        <w:jc w:val="left"/>
        <w:rPr>
          <w:rFonts w:ascii="Times New Roman" w:eastAsia="方正仿宋_GBK"/>
          <w:sz w:val="28"/>
        </w:rPr>
      </w:pPr>
      <w:r>
        <w:rPr>
          <w:rFonts w:hint="eastAsia" w:ascii="Times New Roman" w:eastAsia="方正仿宋_GBK"/>
          <w:sz w:val="28"/>
        </w:rPr>
        <w:t>2、加强支出管理。强化财政预算执行刚性，编细编实预算，对预算的事前、事中、事后进行全过程控制，进一步提高财政资金使用效益。加强支出结构优化，通过加快履行政府采购手续、尽快启动项目、及时支付资金、</w:t>
      </w:r>
      <w:r>
        <w:rPr>
          <w:rFonts w:ascii="Times New Roman" w:eastAsia="方正仿宋_GBK"/>
          <w:sz w:val="28"/>
        </w:rPr>
        <w:t>9</w:t>
      </w:r>
      <w:r>
        <w:rPr>
          <w:rFonts w:hint="eastAsia" w:ascii="Times New Roman" w:eastAsia="方正仿宋_GBK"/>
          <w:sz w:val="28"/>
        </w:rPr>
        <w:t>月底前细化代编预算等多种举措，确保按照时间节点完成支出任务。</w:t>
      </w:r>
    </w:p>
    <w:p>
      <w:pPr>
        <w:autoSpaceDE w:val="0"/>
        <w:autoSpaceDN w:val="0"/>
        <w:adjustRightInd w:val="0"/>
        <w:spacing w:line="500" w:lineRule="exact"/>
        <w:ind w:left="200" w:firstLine="560" w:firstLineChars="200"/>
        <w:jc w:val="left"/>
        <w:rPr>
          <w:rFonts w:ascii="Times New Roman" w:eastAsia="方正仿宋_GBK"/>
          <w:sz w:val="28"/>
        </w:rPr>
      </w:pPr>
      <w:r>
        <w:rPr>
          <w:rFonts w:hint="eastAsia" w:ascii="Times New Roman" w:eastAsia="方正仿宋_GBK"/>
          <w:sz w:val="28"/>
        </w:rPr>
        <w:t>3、加强绩效运行监控。按要求开展绩效运行监控，依据确定的绩效目标，采取项目跟踪、数据核查和汇总分析等方式，动态了解和掌握项目绩效目标实现程度、资金支出进度和项目实施进度，对评价中发现的问题及时整改，确保绩效目标按期保质完成。</w:t>
      </w:r>
    </w:p>
    <w:p>
      <w:pPr>
        <w:autoSpaceDE w:val="0"/>
        <w:autoSpaceDN w:val="0"/>
        <w:adjustRightInd w:val="0"/>
        <w:spacing w:line="500" w:lineRule="exact"/>
        <w:ind w:left="200" w:firstLine="560" w:firstLineChars="200"/>
        <w:jc w:val="left"/>
        <w:rPr>
          <w:rFonts w:ascii="Times New Roman" w:eastAsia="方正仿宋_GBK"/>
          <w:sz w:val="28"/>
        </w:rPr>
      </w:pPr>
      <w:r>
        <w:rPr>
          <w:rFonts w:hint="eastAsia" w:ascii="Times New Roman" w:eastAsia="方正仿宋_GBK"/>
          <w:sz w:val="28"/>
        </w:rPr>
        <w:t>4、规范财政资金、财务资产管理。规范财政资金使用效益，完善内部控制管理制度，坚持依法理财，注重资金支出绩效，最大限额的发挥财政资金效益。在完善财务管理制度的基础上，科学配置单位资产，严格审批程序，加强固定资产登记、使用和报废处置管理，做到支出合理，物尽其用。</w:t>
      </w:r>
    </w:p>
    <w:p>
      <w:pPr>
        <w:autoSpaceDE w:val="0"/>
        <w:autoSpaceDN w:val="0"/>
        <w:adjustRightInd w:val="0"/>
        <w:spacing w:line="500" w:lineRule="exact"/>
        <w:ind w:left="200" w:firstLine="560" w:firstLineChars="200"/>
        <w:jc w:val="left"/>
        <w:rPr>
          <w:rFonts w:ascii="Times New Roman" w:eastAsia="方正仿宋_GBK"/>
          <w:sz w:val="28"/>
        </w:rPr>
      </w:pPr>
      <w:r>
        <w:rPr>
          <w:rFonts w:hint="eastAsia" w:ascii="Times New Roman" w:eastAsia="方正仿宋_GBK"/>
          <w:sz w:val="28"/>
        </w:rPr>
        <w:t>5、强化宣传引导。加强预算绩效管理专业知识培训，提高预算绩效管理工作人员的业务素质，不断优化财务人员知识结构，促进财务人员严格履职，当好领导参谋。加大宣传力度，强化预算绩效管理意识，培育绩效管理文化，促进预算绩效管理水平进一步提升。</w:t>
      </w:r>
    </w:p>
    <w:p>
      <w:pPr>
        <w:autoSpaceDE w:val="0"/>
        <w:autoSpaceDN w:val="0"/>
        <w:adjustRightInd w:val="0"/>
        <w:ind w:left="198" w:firstLine="640" w:firstLineChars="200"/>
        <w:jc w:val="left"/>
        <w:rPr>
          <w:rFonts w:hint="eastAsia" w:ascii="Times New Roman" w:hAnsi="Times New Roman" w:eastAsia="方正仿宋_GBK" w:cs="Times New Roman"/>
          <w:b/>
          <w:color w:val="auto"/>
          <w:sz w:val="32"/>
          <w:szCs w:val="32"/>
          <w:highlight w:val="none"/>
        </w:rPr>
      </w:pPr>
      <w:r>
        <w:rPr>
          <w:rFonts w:hint="eastAsia" w:ascii="方正楷体_GBK" w:eastAsia="方正楷体_GBK"/>
          <w:b/>
          <w:sz w:val="32"/>
        </w:rPr>
        <w:t xml:space="preserve">第二部分  </w:t>
      </w:r>
      <w:r>
        <w:rPr>
          <w:rFonts w:hint="eastAsia" w:ascii="Times New Roman" w:hAnsi="Times New Roman" w:eastAsia="方正仿宋_GBK" w:cs="Times New Roman"/>
          <w:b/>
          <w:color w:val="auto"/>
          <w:sz w:val="32"/>
          <w:szCs w:val="32"/>
          <w:highlight w:val="none"/>
        </w:rPr>
        <w:t>预算项目绩效目标</w:t>
      </w:r>
    </w:p>
    <w:p>
      <w:pPr>
        <w:spacing w:before="0" w:after="0"/>
        <w:ind w:firstLine="560"/>
        <w:jc w:val="left"/>
        <w:outlineLvl w:val="3"/>
      </w:pPr>
      <w:bookmarkStart w:id="1" w:name="_Toc_4_4_0000000004"/>
      <w:r>
        <w:rPr>
          <w:rFonts w:ascii="方正仿宋_GBK" w:hAnsi="方正仿宋_GBK" w:eastAsia="方正仿宋_GBK" w:cs="方正仿宋_GBK"/>
          <w:color w:val="000000"/>
          <w:sz w:val="28"/>
        </w:rPr>
        <w:t>1.2022年改革和机构编制动态调整业务经费绩效目标表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pPr>
            <w:r>
              <w:t>316001中共井陉县委机构编制委员会办公室本级</w:t>
            </w:r>
          </w:p>
        </w:tc>
        <w:tc>
          <w:tcPr>
            <w:tcW w:w="1843" w:type="dxa"/>
            <w:tcBorders>
              <w:top w:val="single" w:color="FFFFFF" w:sz="6" w:space="0"/>
              <w:left w:val="single" w:color="FFFFFF" w:sz="6" w:space="0"/>
              <w:right w:val="single" w:color="FFFFFF" w:sz="6" w:space="0"/>
            </w:tcBorders>
            <w:vAlign w:val="center"/>
          </w:tcPr>
          <w:p>
            <w:pPr>
              <w:pStyle w:val="17"/>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9"/>
            </w:pPr>
            <w:r>
              <w:t>13012122P00002110001G</w:t>
            </w:r>
          </w:p>
        </w:tc>
        <w:tc>
          <w:tcPr>
            <w:tcW w:w="1587" w:type="dxa"/>
            <w:vAlign w:val="center"/>
          </w:tcPr>
          <w:p>
            <w:pPr>
              <w:pStyle w:val="18"/>
            </w:pPr>
            <w:r>
              <w:t>项目名称</w:t>
            </w:r>
          </w:p>
        </w:tc>
        <w:tc>
          <w:tcPr>
            <w:tcW w:w="4422" w:type="dxa"/>
            <w:gridSpan w:val="3"/>
            <w:vAlign w:val="center"/>
          </w:tcPr>
          <w:p>
            <w:pPr>
              <w:pStyle w:val="19"/>
            </w:pPr>
            <w:r>
              <w:t>2022年改革和机构编制动态调整业务经费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9"/>
            </w:pPr>
            <w:r>
              <w:t>30000.00</w:t>
            </w:r>
          </w:p>
        </w:tc>
        <w:tc>
          <w:tcPr>
            <w:tcW w:w="1587" w:type="dxa"/>
            <w:vAlign w:val="center"/>
          </w:tcPr>
          <w:p>
            <w:pPr>
              <w:pStyle w:val="18"/>
            </w:pPr>
            <w:r>
              <w:t>其中：财政    资金</w:t>
            </w:r>
          </w:p>
        </w:tc>
        <w:tc>
          <w:tcPr>
            <w:tcW w:w="1304" w:type="dxa"/>
            <w:vAlign w:val="center"/>
          </w:tcPr>
          <w:p>
            <w:pPr>
              <w:pStyle w:val="19"/>
            </w:pPr>
            <w:r>
              <w:t>30000.00</w:t>
            </w:r>
          </w:p>
        </w:tc>
        <w:tc>
          <w:tcPr>
            <w:tcW w:w="1276" w:type="dxa"/>
            <w:vAlign w:val="center"/>
          </w:tcPr>
          <w:p>
            <w:pPr>
              <w:pStyle w:val="18"/>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组织实施省、市统一安排各类改革及县委县政府安排的各类改革及机构编制改革。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19"/>
            </w:pPr>
            <w:r>
              <w:t>1.组织实施省、市统一安排各类改革，及部分事业单位的机构编制改革工作。</w:t>
            </w:r>
          </w:p>
          <w:p>
            <w:pPr>
              <w:pStyle w:val="19"/>
            </w:pPr>
            <w:r>
              <w:t>2.围绕县委、县政府重项工作需要的各项改革</w:t>
            </w:r>
          </w:p>
          <w:p>
            <w:pPr>
              <w:pStyle w:val="19"/>
            </w:pPr>
            <w:r>
              <w:t>3.部分单位机构编制改革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完成率</w:t>
            </w:r>
          </w:p>
        </w:tc>
        <w:tc>
          <w:tcPr>
            <w:tcW w:w="2891" w:type="dxa"/>
            <w:vAlign w:val="center"/>
          </w:tcPr>
          <w:p>
            <w:pPr>
              <w:pStyle w:val="19"/>
            </w:pPr>
            <w:r>
              <w:t>部分事业单位设立</w:t>
            </w:r>
          </w:p>
        </w:tc>
        <w:tc>
          <w:tcPr>
            <w:tcW w:w="1276" w:type="dxa"/>
            <w:vAlign w:val="center"/>
          </w:tcPr>
          <w:p>
            <w:pPr>
              <w:pStyle w:val="19"/>
            </w:pPr>
            <w:r>
              <w:t>≥1部分事业单位设立</w:t>
            </w:r>
          </w:p>
          <w:p>
            <w:pPr>
              <w:pStyle w:val="19"/>
            </w:pPr>
          </w:p>
        </w:tc>
        <w:tc>
          <w:tcPr>
            <w:tcW w:w="1843" w:type="dxa"/>
            <w:vAlign w:val="center"/>
          </w:tcPr>
          <w:p>
            <w:pPr>
              <w:pStyle w:val="19"/>
            </w:pPr>
            <w:r>
              <w:t>当年机构改革要求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部分事业单位撤消</w:t>
            </w:r>
          </w:p>
        </w:tc>
        <w:tc>
          <w:tcPr>
            <w:tcW w:w="1276" w:type="dxa"/>
            <w:vAlign w:val="center"/>
          </w:tcPr>
          <w:p>
            <w:pPr>
              <w:pStyle w:val="19"/>
            </w:pPr>
            <w:r>
              <w:t>≥1部分事业单位撤消</w:t>
            </w:r>
          </w:p>
        </w:tc>
        <w:tc>
          <w:tcPr>
            <w:tcW w:w="1843" w:type="dxa"/>
            <w:vAlign w:val="center"/>
          </w:tcPr>
          <w:p>
            <w:pPr>
              <w:pStyle w:val="19"/>
            </w:pPr>
            <w:r>
              <w:t>当年机构改革要求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计划执行完成率</w:t>
            </w:r>
          </w:p>
        </w:tc>
        <w:tc>
          <w:tcPr>
            <w:tcW w:w="2891" w:type="dxa"/>
            <w:vAlign w:val="center"/>
          </w:tcPr>
          <w:p>
            <w:pPr>
              <w:pStyle w:val="19"/>
            </w:pPr>
            <w:r>
              <w:t>部分事业单位合并</w:t>
            </w:r>
          </w:p>
        </w:tc>
        <w:tc>
          <w:tcPr>
            <w:tcW w:w="1276" w:type="dxa"/>
            <w:vAlign w:val="center"/>
          </w:tcPr>
          <w:p>
            <w:pPr>
              <w:pStyle w:val="19"/>
            </w:pPr>
            <w:r>
              <w:t>≥1部分事业单位合并</w:t>
            </w:r>
          </w:p>
        </w:tc>
        <w:tc>
          <w:tcPr>
            <w:tcW w:w="1843" w:type="dxa"/>
            <w:vAlign w:val="center"/>
          </w:tcPr>
          <w:p>
            <w:pPr>
              <w:pStyle w:val="19"/>
            </w:pPr>
            <w:r>
              <w:t>当年机构改革要求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业务保障</w:t>
            </w:r>
          </w:p>
        </w:tc>
        <w:tc>
          <w:tcPr>
            <w:tcW w:w="2891" w:type="dxa"/>
            <w:vAlign w:val="center"/>
          </w:tcPr>
          <w:p>
            <w:pPr>
              <w:pStyle w:val="19"/>
            </w:pPr>
            <w:r>
              <w:t>为县委县政府重项工作的顺利开展提供机构保障</w:t>
            </w:r>
          </w:p>
        </w:tc>
        <w:tc>
          <w:tcPr>
            <w:tcW w:w="1276" w:type="dxa"/>
            <w:vAlign w:val="center"/>
          </w:tcPr>
          <w:p>
            <w:pPr>
              <w:pStyle w:val="19"/>
            </w:pPr>
            <w:r>
              <w:t>≥1为县委县政府重项工作的顺利开展提供机构保障</w:t>
            </w:r>
          </w:p>
        </w:tc>
        <w:tc>
          <w:tcPr>
            <w:tcW w:w="1843" w:type="dxa"/>
            <w:vAlign w:val="center"/>
          </w:tcPr>
          <w:p>
            <w:pPr>
              <w:pStyle w:val="19"/>
            </w:pPr>
            <w:r>
              <w:t>当年机构改革要求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经济效益指标</w:t>
            </w:r>
          </w:p>
        </w:tc>
        <w:tc>
          <w:tcPr>
            <w:tcW w:w="1332" w:type="dxa"/>
            <w:vAlign w:val="center"/>
          </w:tcPr>
          <w:p>
            <w:pPr>
              <w:pStyle w:val="19"/>
            </w:pPr>
            <w:r>
              <w:t>办公经费、专用材料费</w:t>
            </w:r>
          </w:p>
        </w:tc>
        <w:tc>
          <w:tcPr>
            <w:tcW w:w="2891" w:type="dxa"/>
            <w:vAlign w:val="center"/>
          </w:tcPr>
          <w:p>
            <w:pPr>
              <w:pStyle w:val="19"/>
            </w:pPr>
            <w:r>
              <w:t>为县委县政府重项工作的顺利开展提供机构保障</w:t>
            </w:r>
          </w:p>
        </w:tc>
        <w:tc>
          <w:tcPr>
            <w:tcW w:w="1276" w:type="dxa"/>
            <w:vAlign w:val="center"/>
          </w:tcPr>
          <w:p>
            <w:pPr>
              <w:pStyle w:val="19"/>
            </w:pPr>
            <w:r>
              <w:t>≥1为县委县政府重项工作的顺利开展提供机构保障</w:t>
            </w:r>
          </w:p>
        </w:tc>
        <w:tc>
          <w:tcPr>
            <w:tcW w:w="1843" w:type="dxa"/>
            <w:vAlign w:val="center"/>
          </w:tcPr>
          <w:p>
            <w:pPr>
              <w:pStyle w:val="19"/>
            </w:pPr>
            <w:r>
              <w:t>当年机构改革要求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生态效益指标</w:t>
            </w:r>
          </w:p>
        </w:tc>
        <w:tc>
          <w:tcPr>
            <w:tcW w:w="1332" w:type="dxa"/>
            <w:vAlign w:val="center"/>
          </w:tcPr>
          <w:p>
            <w:pPr>
              <w:pStyle w:val="19"/>
            </w:pPr>
            <w:r>
              <w:t>生态效益指标</w:t>
            </w:r>
          </w:p>
        </w:tc>
        <w:tc>
          <w:tcPr>
            <w:tcW w:w="2891" w:type="dxa"/>
            <w:vAlign w:val="center"/>
          </w:tcPr>
          <w:p>
            <w:pPr>
              <w:pStyle w:val="19"/>
            </w:pPr>
            <w:r>
              <w:t>为县委县政府重项工作的顺利开展提供机构保障</w:t>
            </w:r>
          </w:p>
        </w:tc>
        <w:tc>
          <w:tcPr>
            <w:tcW w:w="1276" w:type="dxa"/>
            <w:vAlign w:val="center"/>
          </w:tcPr>
          <w:p>
            <w:pPr>
              <w:pStyle w:val="19"/>
            </w:pPr>
            <w:r>
              <w:t>≥1为县委县政府重项工作的顺利开展提供机构保障</w:t>
            </w:r>
          </w:p>
        </w:tc>
        <w:tc>
          <w:tcPr>
            <w:tcW w:w="1843" w:type="dxa"/>
            <w:vAlign w:val="center"/>
          </w:tcPr>
          <w:p>
            <w:pPr>
              <w:pStyle w:val="19"/>
            </w:pPr>
            <w:r>
              <w:t>当年机构改革要求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服务满意度</w:t>
            </w:r>
          </w:p>
        </w:tc>
        <w:tc>
          <w:tcPr>
            <w:tcW w:w="2891" w:type="dxa"/>
            <w:vAlign w:val="center"/>
          </w:tcPr>
          <w:p>
            <w:pPr>
              <w:pStyle w:val="19"/>
            </w:pPr>
            <w:r>
              <w:t>服务对象满意度</w:t>
            </w:r>
          </w:p>
        </w:tc>
        <w:tc>
          <w:tcPr>
            <w:tcW w:w="1276" w:type="dxa"/>
            <w:vAlign w:val="center"/>
          </w:tcPr>
          <w:p>
            <w:pPr>
              <w:pStyle w:val="19"/>
            </w:pPr>
            <w:r>
              <w:t>≥1服务对象满意度</w:t>
            </w:r>
          </w:p>
        </w:tc>
        <w:tc>
          <w:tcPr>
            <w:tcW w:w="1843" w:type="dxa"/>
            <w:vAlign w:val="center"/>
          </w:tcPr>
          <w:p>
            <w:pPr>
              <w:pStyle w:val="19"/>
            </w:pPr>
            <w:r>
              <w:t>当年机构改革要求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服务对象满意度指标</w:t>
            </w:r>
          </w:p>
        </w:tc>
        <w:tc>
          <w:tcPr>
            <w:tcW w:w="1332" w:type="dxa"/>
            <w:vAlign w:val="center"/>
          </w:tcPr>
          <w:p>
            <w:pPr>
              <w:pStyle w:val="19"/>
            </w:pPr>
            <w:r>
              <w:t>服务满意度</w:t>
            </w:r>
          </w:p>
        </w:tc>
        <w:tc>
          <w:tcPr>
            <w:tcW w:w="2891" w:type="dxa"/>
            <w:vAlign w:val="center"/>
          </w:tcPr>
          <w:p>
            <w:pPr>
              <w:pStyle w:val="19"/>
            </w:pPr>
            <w:r>
              <w:t>服务对象满意度</w:t>
            </w:r>
          </w:p>
        </w:tc>
        <w:tc>
          <w:tcPr>
            <w:tcW w:w="1276" w:type="dxa"/>
            <w:vAlign w:val="center"/>
          </w:tcPr>
          <w:p>
            <w:pPr>
              <w:pStyle w:val="19"/>
            </w:pPr>
            <w:r>
              <w:t>≥1服务对象满意度</w:t>
            </w:r>
          </w:p>
        </w:tc>
        <w:tc>
          <w:tcPr>
            <w:tcW w:w="1843" w:type="dxa"/>
            <w:vAlign w:val="center"/>
          </w:tcPr>
          <w:p>
            <w:pPr>
              <w:pStyle w:val="19"/>
            </w:pPr>
            <w:r>
              <w:t>当年机构改革要求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服务对象满意度指标</w:t>
            </w:r>
          </w:p>
        </w:tc>
        <w:tc>
          <w:tcPr>
            <w:tcW w:w="1332" w:type="dxa"/>
            <w:vAlign w:val="center"/>
          </w:tcPr>
          <w:p>
            <w:pPr>
              <w:pStyle w:val="19"/>
            </w:pPr>
            <w:r>
              <w:t>服务满意度</w:t>
            </w:r>
          </w:p>
        </w:tc>
        <w:tc>
          <w:tcPr>
            <w:tcW w:w="2891" w:type="dxa"/>
            <w:vAlign w:val="center"/>
          </w:tcPr>
          <w:p>
            <w:pPr>
              <w:pStyle w:val="19"/>
            </w:pPr>
            <w:r>
              <w:t>服务对象满意度</w:t>
            </w:r>
          </w:p>
        </w:tc>
        <w:tc>
          <w:tcPr>
            <w:tcW w:w="1276" w:type="dxa"/>
            <w:vAlign w:val="center"/>
          </w:tcPr>
          <w:p>
            <w:pPr>
              <w:pStyle w:val="19"/>
            </w:pPr>
            <w:r>
              <w:t>≥1服务对象满意度</w:t>
            </w:r>
          </w:p>
        </w:tc>
        <w:tc>
          <w:tcPr>
            <w:tcW w:w="1843" w:type="dxa"/>
            <w:vAlign w:val="center"/>
          </w:tcPr>
          <w:p>
            <w:pPr>
              <w:pStyle w:val="19"/>
            </w:pPr>
            <w:r>
              <w:t>当年机构改革要求</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2.2022年中文域名注册管理及运行维护费绩效目标表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pPr>
            <w:r>
              <w:t>316001中共井陉县委机构编制委员会办公室本级</w:t>
            </w:r>
          </w:p>
        </w:tc>
        <w:tc>
          <w:tcPr>
            <w:tcW w:w="1843" w:type="dxa"/>
            <w:tcBorders>
              <w:top w:val="single" w:color="FFFFFF" w:sz="6" w:space="0"/>
              <w:left w:val="single" w:color="FFFFFF" w:sz="6" w:space="0"/>
              <w:right w:val="single" w:color="FFFFFF" w:sz="6" w:space="0"/>
            </w:tcBorders>
            <w:vAlign w:val="center"/>
          </w:tcPr>
          <w:p>
            <w:pPr>
              <w:pStyle w:val="17"/>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9"/>
            </w:pPr>
            <w:r>
              <w:t>13012122P00002010001T</w:t>
            </w:r>
          </w:p>
        </w:tc>
        <w:tc>
          <w:tcPr>
            <w:tcW w:w="1587" w:type="dxa"/>
            <w:vAlign w:val="center"/>
          </w:tcPr>
          <w:p>
            <w:pPr>
              <w:pStyle w:val="18"/>
            </w:pPr>
            <w:r>
              <w:t>项目名称</w:t>
            </w:r>
          </w:p>
        </w:tc>
        <w:tc>
          <w:tcPr>
            <w:tcW w:w="4422" w:type="dxa"/>
            <w:gridSpan w:val="3"/>
            <w:vAlign w:val="center"/>
          </w:tcPr>
          <w:p>
            <w:pPr>
              <w:pStyle w:val="19"/>
            </w:pPr>
            <w:r>
              <w:t>2022年中文域名注册管理及运行维护费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9"/>
            </w:pPr>
            <w:r>
              <w:t>50000.00</w:t>
            </w:r>
          </w:p>
        </w:tc>
        <w:tc>
          <w:tcPr>
            <w:tcW w:w="1587" w:type="dxa"/>
            <w:vAlign w:val="center"/>
          </w:tcPr>
          <w:p>
            <w:pPr>
              <w:pStyle w:val="18"/>
            </w:pPr>
            <w:r>
              <w:t>其中：财政    资金</w:t>
            </w:r>
          </w:p>
        </w:tc>
        <w:tc>
          <w:tcPr>
            <w:tcW w:w="1304" w:type="dxa"/>
            <w:vAlign w:val="center"/>
          </w:tcPr>
          <w:p>
            <w:pPr>
              <w:pStyle w:val="19"/>
            </w:pPr>
            <w:r>
              <w:t>50000.00</w:t>
            </w:r>
          </w:p>
        </w:tc>
        <w:tc>
          <w:tcPr>
            <w:tcW w:w="1276" w:type="dxa"/>
            <w:vAlign w:val="center"/>
          </w:tcPr>
          <w:p>
            <w:pPr>
              <w:pStyle w:val="18"/>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指导完成全县所辖党政机关、事业单位完成域名注册和网站挂标两个“全覆盖”工作目标。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19"/>
            </w:pPr>
            <w:r>
              <w:t>1.指导完成全县所辖党政机关完成域名注册和网站挂标两个“全覆盖”工作目标。</w:t>
            </w:r>
          </w:p>
          <w:p>
            <w:pPr>
              <w:pStyle w:val="19"/>
            </w:pPr>
            <w:r>
              <w:t>2.指导完成全县所辖事业单位完成域名注册和网站挂标两个“全覆盖”工作目标。</w:t>
            </w:r>
          </w:p>
          <w:p>
            <w:pPr>
              <w:pStyle w:val="19"/>
            </w:pPr>
            <w:r>
              <w:t>3.提升域名注册率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完成率</w:t>
            </w:r>
          </w:p>
        </w:tc>
        <w:tc>
          <w:tcPr>
            <w:tcW w:w="2891" w:type="dxa"/>
            <w:vAlign w:val="center"/>
          </w:tcPr>
          <w:p>
            <w:pPr>
              <w:pStyle w:val="19"/>
            </w:pPr>
            <w:r>
              <w:t>完成率</w:t>
            </w:r>
          </w:p>
        </w:tc>
        <w:tc>
          <w:tcPr>
            <w:tcW w:w="1276" w:type="dxa"/>
            <w:vAlign w:val="center"/>
          </w:tcPr>
          <w:p>
            <w:pPr>
              <w:pStyle w:val="19"/>
            </w:pPr>
            <w:r>
              <w:t>≥90保护机关事业单位网上合法权益</w:t>
            </w:r>
          </w:p>
        </w:tc>
        <w:tc>
          <w:tcPr>
            <w:tcW w:w="1843" w:type="dxa"/>
            <w:vAlign w:val="center"/>
          </w:tcPr>
          <w:p>
            <w:pPr>
              <w:pStyle w:val="19"/>
            </w:pPr>
            <w:r>
              <w:t>相关业务考核要求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业务工作完成率（%）</w:t>
            </w:r>
          </w:p>
        </w:tc>
        <w:tc>
          <w:tcPr>
            <w:tcW w:w="2891" w:type="dxa"/>
            <w:vAlign w:val="center"/>
          </w:tcPr>
          <w:p>
            <w:pPr>
              <w:pStyle w:val="19"/>
            </w:pPr>
            <w:r>
              <w:t>业务工作完成率（%）</w:t>
            </w:r>
          </w:p>
        </w:tc>
        <w:tc>
          <w:tcPr>
            <w:tcW w:w="1276" w:type="dxa"/>
            <w:vAlign w:val="center"/>
          </w:tcPr>
          <w:p>
            <w:pPr>
              <w:pStyle w:val="19"/>
            </w:pPr>
            <w:r>
              <w:t>≥90续费率</w:t>
            </w:r>
          </w:p>
        </w:tc>
        <w:tc>
          <w:tcPr>
            <w:tcW w:w="1843" w:type="dxa"/>
            <w:vAlign w:val="center"/>
          </w:tcPr>
          <w:p>
            <w:pPr>
              <w:pStyle w:val="19"/>
            </w:pPr>
            <w:r>
              <w:t>相关业务考核要求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按期完成率</w:t>
            </w:r>
          </w:p>
        </w:tc>
        <w:tc>
          <w:tcPr>
            <w:tcW w:w="2891" w:type="dxa"/>
            <w:vAlign w:val="center"/>
          </w:tcPr>
          <w:p>
            <w:pPr>
              <w:pStyle w:val="19"/>
            </w:pPr>
            <w:r>
              <w:t>按期完成率</w:t>
            </w:r>
          </w:p>
        </w:tc>
        <w:tc>
          <w:tcPr>
            <w:tcW w:w="1276" w:type="dxa"/>
            <w:vAlign w:val="center"/>
          </w:tcPr>
          <w:p>
            <w:pPr>
              <w:pStyle w:val="19"/>
            </w:pPr>
            <w:r>
              <w:t>≥90完成率</w:t>
            </w:r>
          </w:p>
        </w:tc>
        <w:tc>
          <w:tcPr>
            <w:tcW w:w="1843" w:type="dxa"/>
            <w:vAlign w:val="center"/>
          </w:tcPr>
          <w:p>
            <w:pPr>
              <w:pStyle w:val="19"/>
            </w:pPr>
            <w:r>
              <w:t>相关业务考核要求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成本利用率</w:t>
            </w:r>
          </w:p>
        </w:tc>
        <w:tc>
          <w:tcPr>
            <w:tcW w:w="2891" w:type="dxa"/>
            <w:vAlign w:val="center"/>
          </w:tcPr>
          <w:p>
            <w:pPr>
              <w:pStyle w:val="19"/>
            </w:pPr>
            <w:r>
              <w:t>成本利用率</w:t>
            </w:r>
          </w:p>
        </w:tc>
        <w:tc>
          <w:tcPr>
            <w:tcW w:w="1276" w:type="dxa"/>
            <w:vAlign w:val="center"/>
          </w:tcPr>
          <w:p>
            <w:pPr>
              <w:pStyle w:val="19"/>
            </w:pPr>
            <w:r>
              <w:t>≥90续费率</w:t>
            </w:r>
          </w:p>
        </w:tc>
        <w:tc>
          <w:tcPr>
            <w:tcW w:w="1843" w:type="dxa"/>
            <w:vAlign w:val="center"/>
          </w:tcPr>
          <w:p>
            <w:pPr>
              <w:pStyle w:val="19"/>
            </w:pPr>
            <w:r>
              <w:t>相关业务考核要求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社会影响力</w:t>
            </w:r>
          </w:p>
        </w:tc>
        <w:tc>
          <w:tcPr>
            <w:tcW w:w="1276" w:type="dxa"/>
            <w:vAlign w:val="center"/>
          </w:tcPr>
          <w:p>
            <w:pPr>
              <w:pStyle w:val="19"/>
            </w:pPr>
            <w:r>
              <w:t>≥90续费率</w:t>
            </w:r>
          </w:p>
        </w:tc>
        <w:tc>
          <w:tcPr>
            <w:tcW w:w="1843" w:type="dxa"/>
            <w:vAlign w:val="center"/>
          </w:tcPr>
          <w:p>
            <w:pPr>
              <w:pStyle w:val="19"/>
            </w:pPr>
            <w:r>
              <w:t>相关业务考核要求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业务办理率</w:t>
            </w:r>
          </w:p>
        </w:tc>
        <w:tc>
          <w:tcPr>
            <w:tcW w:w="2891" w:type="dxa"/>
            <w:vAlign w:val="center"/>
          </w:tcPr>
          <w:p>
            <w:pPr>
              <w:pStyle w:val="19"/>
            </w:pPr>
            <w:r>
              <w:t>业务办理率</w:t>
            </w:r>
          </w:p>
        </w:tc>
        <w:tc>
          <w:tcPr>
            <w:tcW w:w="1276" w:type="dxa"/>
            <w:vAlign w:val="center"/>
          </w:tcPr>
          <w:p>
            <w:pPr>
              <w:pStyle w:val="19"/>
            </w:pPr>
            <w:r>
              <w:t>≥90续费率</w:t>
            </w:r>
          </w:p>
        </w:tc>
        <w:tc>
          <w:tcPr>
            <w:tcW w:w="1843" w:type="dxa"/>
            <w:vAlign w:val="center"/>
          </w:tcPr>
          <w:p>
            <w:pPr>
              <w:pStyle w:val="19"/>
            </w:pPr>
            <w:r>
              <w:t>相关业务考核要求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满意度</w:t>
            </w:r>
          </w:p>
        </w:tc>
        <w:tc>
          <w:tcPr>
            <w:tcW w:w="1276" w:type="dxa"/>
            <w:vAlign w:val="center"/>
          </w:tcPr>
          <w:p>
            <w:pPr>
              <w:pStyle w:val="19"/>
            </w:pPr>
            <w:r>
              <w:t>≥90服务对象满意度</w:t>
            </w:r>
          </w:p>
        </w:tc>
        <w:tc>
          <w:tcPr>
            <w:tcW w:w="1843" w:type="dxa"/>
            <w:vAlign w:val="center"/>
          </w:tcPr>
          <w:p>
            <w:pPr>
              <w:pStyle w:val="19"/>
            </w:pPr>
            <w:r>
              <w:t>相关业务考核要求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满意度</w:t>
            </w:r>
          </w:p>
        </w:tc>
        <w:tc>
          <w:tcPr>
            <w:tcW w:w="1276" w:type="dxa"/>
            <w:vAlign w:val="center"/>
          </w:tcPr>
          <w:p>
            <w:pPr>
              <w:pStyle w:val="19"/>
            </w:pPr>
            <w:r>
              <w:t>≥90服务对象满意度</w:t>
            </w:r>
          </w:p>
        </w:tc>
        <w:tc>
          <w:tcPr>
            <w:tcW w:w="1843" w:type="dxa"/>
            <w:vAlign w:val="center"/>
          </w:tcPr>
          <w:p>
            <w:pPr>
              <w:pStyle w:val="19"/>
            </w:pPr>
            <w:r>
              <w:t>相关业务考核要求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满意度</w:t>
            </w:r>
          </w:p>
        </w:tc>
        <w:tc>
          <w:tcPr>
            <w:tcW w:w="1276" w:type="dxa"/>
            <w:vAlign w:val="center"/>
          </w:tcPr>
          <w:p>
            <w:pPr>
              <w:pStyle w:val="19"/>
            </w:pPr>
            <w:r>
              <w:t>≥90服务对象满意度</w:t>
            </w:r>
          </w:p>
        </w:tc>
        <w:tc>
          <w:tcPr>
            <w:tcW w:w="1843" w:type="dxa"/>
            <w:vAlign w:val="center"/>
          </w:tcPr>
          <w:p>
            <w:pPr>
              <w:pStyle w:val="19"/>
            </w:pPr>
            <w:r>
              <w:t>相关业务考核要求</w:t>
            </w:r>
          </w:p>
        </w:tc>
      </w:tr>
    </w:tbl>
    <w:p>
      <w:pPr>
        <w:spacing w:line="300" w:lineRule="exact"/>
        <w:ind w:firstLine="420" w:firstLineChars="200"/>
        <w:jc w:val="left"/>
        <w:rPr>
          <w:color w:val="FF0000"/>
          <w:highlight w:val="none"/>
        </w:rPr>
      </w:pPr>
    </w:p>
    <w:bookmarkEnd w:id="0"/>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bookmarkStart w:id="3" w:name="_Toc471398468"/>
      <w:r>
        <w:rPr>
          <w:rFonts w:ascii="Times New Roman" w:hAnsi="Times New Roman" w:eastAsia="仿宋" w:cs="Times New Roman"/>
          <w:sz w:val="32"/>
          <w:szCs w:val="24"/>
        </w:rPr>
        <w:t xml:space="preserve"> </w:t>
      </w:r>
      <w:r>
        <w:rPr>
          <w:rFonts w:hint="eastAsia" w:ascii="Times New Roman" w:hAnsi="Times New Roman" w:eastAsia="仿宋" w:cs="Times New Roman"/>
          <w:sz w:val="32"/>
          <w:szCs w:val="24"/>
        </w:rPr>
        <w:t>我部门</w:t>
      </w:r>
      <w:r>
        <w:rPr>
          <w:rFonts w:ascii="Times New Roman" w:hAnsi="Times New Roman" w:eastAsia="仿宋" w:cs="Times New Roman"/>
          <w:sz w:val="32"/>
          <w:szCs w:val="24"/>
        </w:rPr>
        <w:t>20</w:t>
      </w:r>
      <w:r>
        <w:rPr>
          <w:rFonts w:hint="eastAsia" w:ascii="Times New Roman" w:hAnsi="Times New Roman" w:eastAsia="仿宋" w:cs="Times New Roman"/>
          <w:sz w:val="32"/>
          <w:szCs w:val="24"/>
        </w:rPr>
        <w:t>2</w:t>
      </w:r>
      <w:r>
        <w:rPr>
          <w:rFonts w:hint="eastAsia" w:ascii="Times New Roman" w:hAnsi="Times New Roman" w:eastAsia="仿宋" w:cs="Times New Roman"/>
          <w:color w:val="auto"/>
          <w:sz w:val="32"/>
          <w:szCs w:val="24"/>
          <w:highlight w:val="none"/>
          <w:lang w:val="en-US" w:eastAsia="zh-CN"/>
        </w:rPr>
        <w:t>2</w:t>
      </w:r>
      <w:r>
        <w:rPr>
          <w:rFonts w:ascii="Times New Roman" w:hAnsi="Times New Roman" w:eastAsia="仿宋" w:cs="Times New Roman"/>
          <w:color w:val="auto"/>
          <w:sz w:val="32"/>
          <w:szCs w:val="24"/>
          <w:highlight w:val="none"/>
        </w:rPr>
        <w:t>年</w:t>
      </w:r>
      <w:r>
        <w:rPr>
          <w:rFonts w:ascii="仿宋" w:hAnsi="仿宋" w:eastAsia="仿宋" w:cs="仿宋"/>
          <w:color w:val="auto"/>
          <w:kern w:val="0"/>
          <w:sz w:val="31"/>
          <w:szCs w:val="31"/>
          <w:highlight w:val="none"/>
          <w:lang w:val="en-US" w:eastAsia="zh-CN" w:bidi="ar"/>
        </w:rPr>
        <w:t>无政</w:t>
      </w:r>
      <w:r>
        <w:rPr>
          <w:rFonts w:ascii="仿宋" w:hAnsi="仿宋" w:eastAsia="仿宋" w:cs="仿宋"/>
          <w:color w:val="000000"/>
          <w:kern w:val="0"/>
          <w:sz w:val="31"/>
          <w:szCs w:val="31"/>
          <w:lang w:val="en-US" w:eastAsia="zh-CN" w:bidi="ar"/>
        </w:rPr>
        <w:t>府采购计划和预算</w:t>
      </w:r>
      <w:bookmarkEnd w:id="3"/>
      <w:r>
        <w:rPr>
          <w:rFonts w:hint="eastAsia" w:ascii="仿宋" w:hAnsi="仿宋" w:eastAsia="仿宋" w:cs="仿宋"/>
          <w:color w:val="000000"/>
          <w:kern w:val="0"/>
          <w:sz w:val="31"/>
          <w:szCs w:val="31"/>
          <w:lang w:val="en-US" w:eastAsia="zh-CN" w:bidi="ar"/>
        </w:rPr>
        <w:t>。</w:t>
      </w:r>
    </w:p>
    <w:p>
      <w:pPr>
        <w:keepNext w:val="0"/>
        <w:keepLines w:val="0"/>
        <w:widowControl/>
        <w:suppressLineNumbers w:val="0"/>
        <w:jc w:val="center"/>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部门政府采购预算</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07"/>
        <w:gridCol w:w="702"/>
        <w:gridCol w:w="621"/>
        <w:gridCol w:w="946"/>
        <w:gridCol w:w="437"/>
        <w:gridCol w:w="560"/>
        <w:gridCol w:w="569"/>
        <w:gridCol w:w="700"/>
        <w:gridCol w:w="700"/>
        <w:gridCol w:w="700"/>
        <w:gridCol w:w="700"/>
        <w:gridCol w:w="700"/>
        <w:gridCol w:w="7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tblHeader/>
          <w:jc w:val="center"/>
        </w:trPr>
        <w:tc>
          <w:tcPr>
            <w:tcW w:w="2622" w:type="pct"/>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eastAsia="方正小标宋_GBK"/>
                <w:sz w:val="24"/>
                <w:lang w:val="en-US" w:eastAsia="zh-CN"/>
              </w:rPr>
            </w:pPr>
            <w:r>
              <w:rPr>
                <w:rFonts w:hint="eastAsia" w:ascii="方正小标宋_GBK" w:eastAsia="方正小标宋_GBK"/>
                <w:sz w:val="24"/>
              </w:rPr>
              <w:t>部门名称：井陉县</w:t>
            </w:r>
            <w:r>
              <w:rPr>
                <w:rFonts w:hint="eastAsia" w:ascii="方正小标宋_GBK" w:eastAsia="方正小标宋_GBK"/>
                <w:sz w:val="24"/>
                <w:lang w:eastAsia="zh-CN"/>
              </w:rPr>
              <w:t>委编办</w:t>
            </w:r>
          </w:p>
        </w:tc>
        <w:tc>
          <w:tcPr>
            <w:tcW w:w="2377" w:type="pct"/>
            <w:gridSpan w:val="6"/>
            <w:tcBorders>
              <w:top w:val="single" w:color="FFFFFF" w:sz="6" w:space="0"/>
              <w:left w:val="single" w:color="FFFFFF" w:sz="6" w:space="0"/>
              <w:right w:val="single" w:color="FFFFFF" w:sz="6" w:space="0"/>
            </w:tcBorders>
            <w:noWrap w:val="0"/>
            <w:vAlign w:val="center"/>
          </w:tcPr>
          <w:p>
            <w:pPr>
              <w:spacing w:line="300" w:lineRule="exact"/>
              <w:jc w:val="center"/>
              <w:rPr>
                <w:rFonts w:hint="eastAsia" w:ascii="方正小标宋_GBK" w:eastAsia="方正小标宋_GBK"/>
                <w:sz w:val="24"/>
                <w:lang w:eastAsia="zh-CN"/>
              </w:rPr>
            </w:pPr>
            <w:r>
              <w:rPr>
                <w:rFonts w:hint="eastAsia" w:ascii="方正小标宋_GBK" w:eastAsia="方正小标宋_GBK"/>
                <w:sz w:val="24"/>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tblHeader/>
          <w:jc w:val="center"/>
        </w:trPr>
        <w:tc>
          <w:tcPr>
            <w:tcW w:w="853" w:type="pct"/>
            <w:gridSpan w:val="2"/>
            <w:noWrap w:val="0"/>
            <w:vAlign w:val="center"/>
          </w:tcPr>
          <w:p>
            <w:pPr>
              <w:spacing w:line="300" w:lineRule="exact"/>
              <w:jc w:val="center"/>
              <w:rPr>
                <w:rFonts w:ascii="宋体" w:hAnsi="宋体"/>
                <w:b/>
              </w:rPr>
            </w:pPr>
            <w:r>
              <w:rPr>
                <w:rFonts w:hint="eastAsia" w:ascii="宋体" w:hAnsi="宋体"/>
                <w:b/>
              </w:rPr>
              <w:t>政府采购项目来源</w:t>
            </w:r>
          </w:p>
        </w:tc>
        <w:tc>
          <w:tcPr>
            <w:tcW w:w="351" w:type="pct"/>
            <w:vMerge w:val="restart"/>
            <w:noWrap w:val="0"/>
            <w:vAlign w:val="center"/>
          </w:tcPr>
          <w:p>
            <w:pPr>
              <w:spacing w:line="300" w:lineRule="exact"/>
              <w:jc w:val="center"/>
              <w:rPr>
                <w:rFonts w:ascii="宋体" w:hAnsi="宋体"/>
                <w:b/>
              </w:rPr>
            </w:pPr>
            <w:r>
              <w:rPr>
                <w:rFonts w:hint="eastAsia" w:ascii="宋体" w:hAnsi="宋体"/>
                <w:b/>
              </w:rPr>
              <w:t>采购物品名称</w:t>
            </w:r>
          </w:p>
        </w:tc>
        <w:tc>
          <w:tcPr>
            <w:tcW w:w="534" w:type="pct"/>
            <w:vMerge w:val="restart"/>
            <w:noWrap w:val="0"/>
            <w:vAlign w:val="center"/>
          </w:tcPr>
          <w:p>
            <w:pPr>
              <w:spacing w:line="300" w:lineRule="exact"/>
              <w:jc w:val="center"/>
              <w:rPr>
                <w:rFonts w:ascii="宋体" w:hAnsi="宋体"/>
                <w:b/>
              </w:rPr>
            </w:pPr>
            <w:r>
              <w:rPr>
                <w:rFonts w:hint="eastAsia" w:ascii="宋体" w:hAnsi="宋体"/>
                <w:b/>
              </w:rPr>
              <w:t>政府采购目录序号</w:t>
            </w:r>
          </w:p>
        </w:tc>
        <w:tc>
          <w:tcPr>
            <w:tcW w:w="247" w:type="pct"/>
            <w:vMerge w:val="restart"/>
            <w:noWrap w:val="0"/>
            <w:vAlign w:val="center"/>
          </w:tcPr>
          <w:p>
            <w:pPr>
              <w:spacing w:line="300" w:lineRule="exact"/>
              <w:jc w:val="center"/>
              <w:rPr>
                <w:rFonts w:ascii="宋体" w:hAnsi="宋体"/>
                <w:b/>
              </w:rPr>
            </w:pPr>
            <w:r>
              <w:rPr>
                <w:rFonts w:hint="eastAsia" w:ascii="宋体" w:hAnsi="宋体"/>
                <w:b/>
              </w:rPr>
              <w:t>计量</w:t>
            </w:r>
            <w:r>
              <w:rPr>
                <w:rFonts w:ascii="宋体" w:hAnsi="宋体"/>
                <w:b/>
              </w:rPr>
              <w:t xml:space="preserve">  </w:t>
            </w:r>
            <w:r>
              <w:rPr>
                <w:rFonts w:hint="eastAsia" w:ascii="宋体" w:hAnsi="宋体"/>
                <w:b/>
              </w:rPr>
              <w:t>单位</w:t>
            </w:r>
          </w:p>
        </w:tc>
        <w:tc>
          <w:tcPr>
            <w:tcW w:w="316" w:type="pct"/>
            <w:vMerge w:val="restart"/>
            <w:noWrap w:val="0"/>
            <w:vAlign w:val="center"/>
          </w:tcPr>
          <w:p>
            <w:pPr>
              <w:spacing w:line="300" w:lineRule="exact"/>
              <w:jc w:val="center"/>
              <w:rPr>
                <w:rFonts w:ascii="宋体" w:hAnsi="宋体"/>
                <w:b/>
              </w:rPr>
            </w:pPr>
            <w:r>
              <w:rPr>
                <w:rFonts w:hint="eastAsia" w:ascii="宋体" w:hAnsi="宋体"/>
                <w:b/>
              </w:rPr>
              <w:t>数量</w:t>
            </w:r>
          </w:p>
        </w:tc>
        <w:tc>
          <w:tcPr>
            <w:tcW w:w="320" w:type="pct"/>
            <w:vMerge w:val="restart"/>
            <w:noWrap w:val="0"/>
            <w:vAlign w:val="center"/>
          </w:tcPr>
          <w:p>
            <w:pPr>
              <w:spacing w:line="300" w:lineRule="exact"/>
              <w:jc w:val="center"/>
              <w:rPr>
                <w:rFonts w:ascii="宋体" w:hAnsi="宋体"/>
                <w:b/>
              </w:rPr>
            </w:pPr>
            <w:r>
              <w:rPr>
                <w:rFonts w:hint="eastAsia" w:ascii="宋体" w:hAnsi="宋体"/>
                <w:b/>
              </w:rPr>
              <w:t>单价</w:t>
            </w:r>
          </w:p>
        </w:tc>
        <w:tc>
          <w:tcPr>
            <w:tcW w:w="2377" w:type="pct"/>
            <w:gridSpan w:val="6"/>
            <w:noWrap w:val="0"/>
            <w:vAlign w:val="center"/>
          </w:tcPr>
          <w:p>
            <w:pPr>
              <w:spacing w:line="300" w:lineRule="exact"/>
              <w:jc w:val="center"/>
              <w:rPr>
                <w:rFonts w:ascii="宋体" w:hAnsi="宋体"/>
                <w:b/>
              </w:rPr>
            </w:pPr>
            <w:r>
              <w:rPr>
                <w:rFonts w:hint="eastAsia" w:ascii="宋体" w:hAnsi="宋体"/>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06" w:hRule="atLeast"/>
          <w:tblHeader/>
          <w:jc w:val="center"/>
        </w:trPr>
        <w:tc>
          <w:tcPr>
            <w:tcW w:w="456" w:type="pct"/>
            <w:noWrap w:val="0"/>
            <w:vAlign w:val="center"/>
          </w:tcPr>
          <w:p>
            <w:pPr>
              <w:spacing w:line="300" w:lineRule="exact"/>
              <w:jc w:val="center"/>
              <w:rPr>
                <w:rFonts w:ascii="宋体" w:hAnsi="宋体"/>
                <w:b/>
              </w:rPr>
            </w:pPr>
            <w:r>
              <w:rPr>
                <w:rFonts w:hint="eastAsia" w:ascii="宋体" w:hAnsi="宋体"/>
                <w:b/>
              </w:rPr>
              <w:t>项目名称</w:t>
            </w:r>
          </w:p>
        </w:tc>
        <w:tc>
          <w:tcPr>
            <w:tcW w:w="396" w:type="pct"/>
            <w:noWrap w:val="0"/>
            <w:vAlign w:val="center"/>
          </w:tcPr>
          <w:p>
            <w:pPr>
              <w:spacing w:line="300" w:lineRule="exact"/>
              <w:jc w:val="center"/>
              <w:rPr>
                <w:rFonts w:ascii="宋体" w:hAnsi="宋体"/>
                <w:b/>
              </w:rPr>
            </w:pPr>
            <w:r>
              <w:rPr>
                <w:rFonts w:hint="eastAsia" w:ascii="宋体" w:hAnsi="宋体"/>
                <w:b/>
              </w:rPr>
              <w:t>预算资金</w:t>
            </w:r>
          </w:p>
        </w:tc>
        <w:tc>
          <w:tcPr>
            <w:tcW w:w="351" w:type="pct"/>
            <w:vMerge w:val="continue"/>
            <w:noWrap w:val="0"/>
            <w:vAlign w:val="center"/>
          </w:tcPr>
          <w:p>
            <w:pPr>
              <w:spacing w:line="300" w:lineRule="exact"/>
              <w:jc w:val="left"/>
              <w:outlineLvl w:val="0"/>
              <w:rPr>
                <w:rFonts w:ascii="宋体" w:hAnsi="宋体"/>
                <w:b/>
                <w:sz w:val="28"/>
              </w:rPr>
            </w:pPr>
          </w:p>
        </w:tc>
        <w:tc>
          <w:tcPr>
            <w:tcW w:w="534" w:type="pct"/>
            <w:vMerge w:val="continue"/>
            <w:noWrap w:val="0"/>
            <w:vAlign w:val="center"/>
          </w:tcPr>
          <w:p>
            <w:pPr>
              <w:spacing w:line="300" w:lineRule="exact"/>
              <w:jc w:val="left"/>
              <w:outlineLvl w:val="0"/>
              <w:rPr>
                <w:rFonts w:ascii="宋体" w:hAnsi="宋体"/>
                <w:b/>
                <w:sz w:val="28"/>
              </w:rPr>
            </w:pPr>
          </w:p>
        </w:tc>
        <w:tc>
          <w:tcPr>
            <w:tcW w:w="247" w:type="pct"/>
            <w:vMerge w:val="continue"/>
            <w:noWrap w:val="0"/>
            <w:vAlign w:val="center"/>
          </w:tcPr>
          <w:p>
            <w:pPr>
              <w:spacing w:line="300" w:lineRule="exact"/>
              <w:jc w:val="left"/>
              <w:outlineLvl w:val="0"/>
              <w:rPr>
                <w:rFonts w:ascii="宋体" w:hAnsi="宋体"/>
                <w:b/>
                <w:sz w:val="28"/>
              </w:rPr>
            </w:pPr>
          </w:p>
        </w:tc>
        <w:tc>
          <w:tcPr>
            <w:tcW w:w="316" w:type="pct"/>
            <w:vMerge w:val="continue"/>
            <w:noWrap w:val="0"/>
            <w:vAlign w:val="center"/>
          </w:tcPr>
          <w:p>
            <w:pPr>
              <w:spacing w:line="300" w:lineRule="exact"/>
              <w:jc w:val="left"/>
              <w:outlineLvl w:val="0"/>
              <w:rPr>
                <w:rFonts w:ascii="宋体" w:hAnsi="宋体"/>
                <w:b/>
                <w:sz w:val="28"/>
              </w:rPr>
            </w:pPr>
          </w:p>
        </w:tc>
        <w:tc>
          <w:tcPr>
            <w:tcW w:w="320" w:type="pct"/>
            <w:vMerge w:val="continue"/>
            <w:noWrap w:val="0"/>
            <w:vAlign w:val="center"/>
          </w:tcPr>
          <w:p>
            <w:pPr>
              <w:spacing w:line="300" w:lineRule="exact"/>
              <w:jc w:val="left"/>
              <w:outlineLvl w:val="0"/>
              <w:rPr>
                <w:rFonts w:ascii="宋体" w:hAnsi="宋体"/>
                <w:b/>
                <w:sz w:val="28"/>
              </w:rPr>
            </w:pPr>
          </w:p>
        </w:tc>
        <w:tc>
          <w:tcPr>
            <w:tcW w:w="395" w:type="pct"/>
            <w:noWrap w:val="0"/>
            <w:vAlign w:val="center"/>
          </w:tcPr>
          <w:p>
            <w:pPr>
              <w:spacing w:line="300" w:lineRule="exact"/>
              <w:jc w:val="center"/>
              <w:rPr>
                <w:rFonts w:ascii="宋体" w:hAnsi="宋体"/>
                <w:b/>
              </w:rPr>
            </w:pPr>
            <w:r>
              <w:rPr>
                <w:rFonts w:hint="eastAsia" w:ascii="宋体" w:hAnsi="宋体"/>
                <w:b/>
              </w:rPr>
              <w:t>合计</w:t>
            </w:r>
          </w:p>
        </w:tc>
        <w:tc>
          <w:tcPr>
            <w:tcW w:w="395" w:type="pct"/>
            <w:noWrap w:val="0"/>
            <w:vAlign w:val="center"/>
          </w:tcPr>
          <w:p>
            <w:pPr>
              <w:spacing w:line="300" w:lineRule="exact"/>
              <w:jc w:val="center"/>
              <w:rPr>
                <w:rFonts w:ascii="宋体" w:hAnsi="宋体"/>
                <w:b/>
              </w:rPr>
            </w:pPr>
            <w:r>
              <w:rPr>
                <w:rFonts w:hint="eastAsia" w:ascii="宋体" w:hAnsi="宋体"/>
                <w:b/>
              </w:rPr>
              <w:t>一般公共预算拨款</w:t>
            </w:r>
          </w:p>
        </w:tc>
        <w:tc>
          <w:tcPr>
            <w:tcW w:w="395" w:type="pct"/>
            <w:noWrap w:val="0"/>
            <w:vAlign w:val="center"/>
          </w:tcPr>
          <w:p>
            <w:pPr>
              <w:spacing w:line="300" w:lineRule="exact"/>
              <w:jc w:val="center"/>
              <w:rPr>
                <w:rFonts w:ascii="宋体" w:hAnsi="宋体"/>
                <w:b/>
              </w:rPr>
            </w:pPr>
            <w:r>
              <w:rPr>
                <w:rFonts w:hint="eastAsia" w:ascii="宋体" w:hAnsi="宋体"/>
                <w:b/>
              </w:rPr>
              <w:t>基金预算拨款</w:t>
            </w:r>
          </w:p>
        </w:tc>
        <w:tc>
          <w:tcPr>
            <w:tcW w:w="395" w:type="pct"/>
            <w:noWrap w:val="0"/>
            <w:vAlign w:val="center"/>
          </w:tcPr>
          <w:p>
            <w:pPr>
              <w:spacing w:line="300" w:lineRule="exact"/>
              <w:jc w:val="center"/>
              <w:rPr>
                <w:rFonts w:ascii="宋体" w:hAnsi="宋体"/>
                <w:b/>
              </w:rPr>
            </w:pPr>
            <w:r>
              <w:rPr>
                <w:rFonts w:hint="eastAsia" w:ascii="宋体" w:hAnsi="宋体"/>
                <w:b/>
              </w:rPr>
              <w:t>国有资本经营预算拨款</w:t>
            </w:r>
          </w:p>
        </w:tc>
        <w:tc>
          <w:tcPr>
            <w:tcW w:w="395" w:type="pct"/>
            <w:noWrap w:val="0"/>
            <w:vAlign w:val="center"/>
          </w:tcPr>
          <w:p>
            <w:pPr>
              <w:spacing w:line="300" w:lineRule="exact"/>
              <w:jc w:val="center"/>
              <w:rPr>
                <w:rFonts w:ascii="宋体" w:hAnsi="宋体"/>
                <w:b/>
              </w:rPr>
            </w:pPr>
            <w:r>
              <w:rPr>
                <w:rFonts w:hint="eastAsia" w:ascii="宋体" w:hAnsi="宋体"/>
                <w:b/>
              </w:rPr>
              <w:t>财政专户核拨</w:t>
            </w:r>
          </w:p>
        </w:tc>
        <w:tc>
          <w:tcPr>
            <w:tcW w:w="401" w:type="pct"/>
            <w:noWrap w:val="0"/>
            <w:vAlign w:val="center"/>
          </w:tcPr>
          <w:p>
            <w:pPr>
              <w:spacing w:line="300" w:lineRule="exact"/>
              <w:jc w:val="center"/>
              <w:rPr>
                <w:rFonts w:ascii="宋体" w:hAnsi="宋体"/>
                <w:b/>
              </w:rPr>
            </w:pPr>
            <w:r>
              <w:rPr>
                <w:rFonts w:hint="eastAsia" w:ascii="宋体" w:hAnsi="宋体"/>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456" w:type="pct"/>
            <w:noWrap w:val="0"/>
            <w:vAlign w:val="center"/>
          </w:tcPr>
          <w:p>
            <w:pPr>
              <w:spacing w:line="300" w:lineRule="exact"/>
              <w:jc w:val="center"/>
              <w:rPr>
                <w:rFonts w:ascii="宋体" w:hAnsi="宋体"/>
                <w:b/>
              </w:rPr>
            </w:pPr>
          </w:p>
        </w:tc>
        <w:tc>
          <w:tcPr>
            <w:tcW w:w="396" w:type="pct"/>
            <w:noWrap w:val="0"/>
            <w:vAlign w:val="center"/>
          </w:tcPr>
          <w:p>
            <w:pPr>
              <w:spacing w:line="300" w:lineRule="exact"/>
              <w:jc w:val="right"/>
              <w:rPr>
                <w:rFonts w:ascii="宋体" w:hAnsi="宋体"/>
                <w:b/>
              </w:rPr>
            </w:pPr>
          </w:p>
        </w:tc>
        <w:tc>
          <w:tcPr>
            <w:tcW w:w="351" w:type="pct"/>
            <w:noWrap w:val="0"/>
            <w:vAlign w:val="center"/>
          </w:tcPr>
          <w:p>
            <w:pPr>
              <w:spacing w:line="300" w:lineRule="exact"/>
              <w:jc w:val="left"/>
              <w:rPr>
                <w:rFonts w:ascii="宋体" w:hAnsi="宋体"/>
                <w:b/>
              </w:rPr>
            </w:pPr>
          </w:p>
        </w:tc>
        <w:tc>
          <w:tcPr>
            <w:tcW w:w="534" w:type="pct"/>
            <w:noWrap w:val="0"/>
            <w:vAlign w:val="center"/>
          </w:tcPr>
          <w:p>
            <w:pPr>
              <w:spacing w:line="300" w:lineRule="exact"/>
              <w:jc w:val="left"/>
              <w:rPr>
                <w:rFonts w:ascii="宋体" w:hAnsi="宋体"/>
                <w:b/>
              </w:rPr>
            </w:pPr>
          </w:p>
        </w:tc>
        <w:tc>
          <w:tcPr>
            <w:tcW w:w="247" w:type="pct"/>
            <w:noWrap w:val="0"/>
            <w:vAlign w:val="center"/>
          </w:tcPr>
          <w:p>
            <w:pPr>
              <w:spacing w:line="300" w:lineRule="exact"/>
              <w:jc w:val="center"/>
              <w:rPr>
                <w:rFonts w:ascii="宋体" w:hAnsi="宋体"/>
                <w:b/>
              </w:rPr>
            </w:pPr>
          </w:p>
        </w:tc>
        <w:tc>
          <w:tcPr>
            <w:tcW w:w="316" w:type="pct"/>
            <w:noWrap w:val="0"/>
            <w:vAlign w:val="center"/>
          </w:tcPr>
          <w:p>
            <w:pPr>
              <w:spacing w:line="300" w:lineRule="exact"/>
              <w:jc w:val="right"/>
              <w:rPr>
                <w:rFonts w:ascii="宋体" w:hAnsi="宋体"/>
                <w:b/>
              </w:rPr>
            </w:pPr>
          </w:p>
        </w:tc>
        <w:tc>
          <w:tcPr>
            <w:tcW w:w="320" w:type="pct"/>
            <w:noWrap w:val="0"/>
            <w:vAlign w:val="center"/>
          </w:tcPr>
          <w:p>
            <w:pPr>
              <w:spacing w:line="300" w:lineRule="exact"/>
              <w:jc w:val="right"/>
              <w:rPr>
                <w:rFonts w:ascii="宋体" w:hAnsi="宋体"/>
                <w:b/>
              </w:rPr>
            </w:pPr>
          </w:p>
        </w:tc>
        <w:tc>
          <w:tcPr>
            <w:tcW w:w="395" w:type="pct"/>
            <w:noWrap w:val="0"/>
            <w:vAlign w:val="center"/>
          </w:tcPr>
          <w:p>
            <w:pPr>
              <w:spacing w:line="300" w:lineRule="exact"/>
              <w:jc w:val="right"/>
              <w:rPr>
                <w:rFonts w:ascii="宋体" w:hAnsi="宋体"/>
                <w:b/>
              </w:rPr>
            </w:pPr>
          </w:p>
        </w:tc>
        <w:tc>
          <w:tcPr>
            <w:tcW w:w="395" w:type="pct"/>
            <w:noWrap w:val="0"/>
            <w:vAlign w:val="center"/>
          </w:tcPr>
          <w:p>
            <w:pPr>
              <w:spacing w:line="300" w:lineRule="exact"/>
              <w:jc w:val="right"/>
              <w:rPr>
                <w:rFonts w:ascii="宋体" w:hAnsi="宋体"/>
                <w:b/>
              </w:rPr>
            </w:pPr>
          </w:p>
        </w:tc>
        <w:tc>
          <w:tcPr>
            <w:tcW w:w="395" w:type="pct"/>
            <w:noWrap w:val="0"/>
            <w:vAlign w:val="center"/>
          </w:tcPr>
          <w:p>
            <w:pPr>
              <w:spacing w:line="300" w:lineRule="exact"/>
              <w:jc w:val="right"/>
              <w:rPr>
                <w:rFonts w:ascii="宋体" w:hAnsi="宋体"/>
                <w:b/>
              </w:rPr>
            </w:pPr>
          </w:p>
        </w:tc>
        <w:tc>
          <w:tcPr>
            <w:tcW w:w="395" w:type="pct"/>
            <w:noWrap w:val="0"/>
            <w:vAlign w:val="center"/>
          </w:tcPr>
          <w:p>
            <w:pPr>
              <w:spacing w:line="300" w:lineRule="exact"/>
              <w:jc w:val="right"/>
              <w:rPr>
                <w:rFonts w:ascii="宋体" w:hAnsi="宋体"/>
                <w:b/>
              </w:rPr>
            </w:pPr>
          </w:p>
        </w:tc>
        <w:tc>
          <w:tcPr>
            <w:tcW w:w="395" w:type="pct"/>
            <w:noWrap w:val="0"/>
            <w:vAlign w:val="center"/>
          </w:tcPr>
          <w:p>
            <w:pPr>
              <w:spacing w:line="300" w:lineRule="exact"/>
              <w:jc w:val="right"/>
              <w:rPr>
                <w:rFonts w:ascii="宋体" w:hAnsi="宋体"/>
                <w:b/>
              </w:rPr>
            </w:pPr>
          </w:p>
        </w:tc>
        <w:tc>
          <w:tcPr>
            <w:tcW w:w="401" w:type="pct"/>
            <w:noWrap w:val="0"/>
            <w:vAlign w:val="center"/>
          </w:tcPr>
          <w:p>
            <w:pPr>
              <w:spacing w:line="300" w:lineRule="exact"/>
              <w:jc w:val="right"/>
              <w:rPr>
                <w:rFonts w:ascii="宋体" w:hAnsi="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456" w:type="pct"/>
            <w:noWrap w:val="0"/>
            <w:vAlign w:val="center"/>
          </w:tcPr>
          <w:p>
            <w:pPr>
              <w:spacing w:line="300" w:lineRule="exact"/>
              <w:jc w:val="left"/>
              <w:rPr>
                <w:rFonts w:ascii="宋体" w:hAnsi="宋体"/>
              </w:rPr>
            </w:pPr>
          </w:p>
        </w:tc>
        <w:tc>
          <w:tcPr>
            <w:tcW w:w="396" w:type="pct"/>
            <w:noWrap w:val="0"/>
            <w:vAlign w:val="center"/>
          </w:tcPr>
          <w:p>
            <w:pPr>
              <w:spacing w:line="300" w:lineRule="exact"/>
              <w:jc w:val="right"/>
              <w:rPr>
                <w:rFonts w:ascii="宋体" w:hAnsi="宋体"/>
              </w:rPr>
            </w:pPr>
          </w:p>
        </w:tc>
        <w:tc>
          <w:tcPr>
            <w:tcW w:w="351" w:type="pct"/>
            <w:noWrap w:val="0"/>
            <w:vAlign w:val="center"/>
          </w:tcPr>
          <w:p>
            <w:pPr>
              <w:spacing w:line="300" w:lineRule="exact"/>
              <w:jc w:val="left"/>
              <w:rPr>
                <w:rFonts w:ascii="宋体" w:hAnsi="宋体"/>
              </w:rPr>
            </w:pPr>
          </w:p>
        </w:tc>
        <w:tc>
          <w:tcPr>
            <w:tcW w:w="534" w:type="pct"/>
            <w:noWrap w:val="0"/>
            <w:vAlign w:val="center"/>
          </w:tcPr>
          <w:p>
            <w:pPr>
              <w:spacing w:line="300" w:lineRule="exact"/>
              <w:jc w:val="left"/>
              <w:rPr>
                <w:rFonts w:ascii="宋体" w:hAnsi="宋体"/>
              </w:rPr>
            </w:pPr>
          </w:p>
        </w:tc>
        <w:tc>
          <w:tcPr>
            <w:tcW w:w="247" w:type="pct"/>
            <w:noWrap w:val="0"/>
            <w:vAlign w:val="center"/>
          </w:tcPr>
          <w:p>
            <w:pPr>
              <w:spacing w:line="300" w:lineRule="exact"/>
              <w:jc w:val="center"/>
              <w:rPr>
                <w:rFonts w:ascii="宋体" w:hAnsi="宋体"/>
              </w:rPr>
            </w:pPr>
          </w:p>
        </w:tc>
        <w:tc>
          <w:tcPr>
            <w:tcW w:w="316" w:type="pct"/>
            <w:noWrap w:val="0"/>
            <w:vAlign w:val="center"/>
          </w:tcPr>
          <w:p>
            <w:pPr>
              <w:spacing w:line="300" w:lineRule="exact"/>
              <w:jc w:val="right"/>
              <w:rPr>
                <w:rFonts w:ascii="宋体" w:hAnsi="宋体"/>
              </w:rPr>
            </w:pPr>
          </w:p>
        </w:tc>
        <w:tc>
          <w:tcPr>
            <w:tcW w:w="320"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401" w:type="pct"/>
            <w:noWrap w:val="0"/>
            <w:vAlign w:val="center"/>
          </w:tcPr>
          <w:p>
            <w:pPr>
              <w:spacing w:line="300" w:lineRule="exact"/>
              <w:jc w:val="right"/>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5" w:hRule="atLeast"/>
          <w:jc w:val="center"/>
        </w:trPr>
        <w:tc>
          <w:tcPr>
            <w:tcW w:w="456" w:type="pct"/>
            <w:noWrap w:val="0"/>
            <w:vAlign w:val="center"/>
          </w:tcPr>
          <w:p>
            <w:pPr>
              <w:spacing w:line="300" w:lineRule="exact"/>
              <w:jc w:val="left"/>
              <w:rPr>
                <w:rFonts w:ascii="宋体" w:hAnsi="宋体"/>
                <w:cs/>
              </w:rPr>
            </w:pPr>
          </w:p>
        </w:tc>
        <w:tc>
          <w:tcPr>
            <w:tcW w:w="396" w:type="pct"/>
            <w:noWrap w:val="0"/>
            <w:vAlign w:val="center"/>
          </w:tcPr>
          <w:p>
            <w:pPr>
              <w:spacing w:line="300" w:lineRule="exact"/>
              <w:jc w:val="right"/>
              <w:rPr>
                <w:rFonts w:ascii="宋体" w:hAnsi="宋体"/>
              </w:rPr>
            </w:pPr>
          </w:p>
        </w:tc>
        <w:tc>
          <w:tcPr>
            <w:tcW w:w="351" w:type="pct"/>
            <w:noWrap w:val="0"/>
            <w:vAlign w:val="center"/>
          </w:tcPr>
          <w:p>
            <w:pPr>
              <w:spacing w:line="300" w:lineRule="exact"/>
              <w:jc w:val="left"/>
              <w:rPr>
                <w:rFonts w:ascii="宋体" w:hAnsi="宋体"/>
              </w:rPr>
            </w:pPr>
          </w:p>
        </w:tc>
        <w:tc>
          <w:tcPr>
            <w:tcW w:w="534" w:type="pct"/>
            <w:noWrap w:val="0"/>
            <w:vAlign w:val="center"/>
          </w:tcPr>
          <w:p>
            <w:pPr>
              <w:spacing w:line="300" w:lineRule="exact"/>
              <w:jc w:val="left"/>
              <w:rPr>
                <w:rFonts w:ascii="宋体" w:hAnsi="宋体"/>
              </w:rPr>
            </w:pPr>
          </w:p>
        </w:tc>
        <w:tc>
          <w:tcPr>
            <w:tcW w:w="247" w:type="pct"/>
            <w:noWrap w:val="0"/>
            <w:vAlign w:val="center"/>
          </w:tcPr>
          <w:p>
            <w:pPr>
              <w:spacing w:line="300" w:lineRule="exact"/>
              <w:jc w:val="center"/>
              <w:rPr>
                <w:rFonts w:ascii="宋体" w:hAnsi="宋体"/>
              </w:rPr>
            </w:pPr>
          </w:p>
        </w:tc>
        <w:tc>
          <w:tcPr>
            <w:tcW w:w="316" w:type="pct"/>
            <w:noWrap w:val="0"/>
            <w:vAlign w:val="center"/>
          </w:tcPr>
          <w:p>
            <w:pPr>
              <w:spacing w:line="300" w:lineRule="exact"/>
              <w:jc w:val="right"/>
              <w:rPr>
                <w:rFonts w:ascii="宋体" w:hAnsi="宋体"/>
              </w:rPr>
            </w:pPr>
          </w:p>
        </w:tc>
        <w:tc>
          <w:tcPr>
            <w:tcW w:w="320"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395" w:type="pct"/>
            <w:noWrap w:val="0"/>
            <w:vAlign w:val="center"/>
          </w:tcPr>
          <w:p>
            <w:pPr>
              <w:spacing w:line="300" w:lineRule="exact"/>
              <w:jc w:val="right"/>
              <w:rPr>
                <w:rFonts w:ascii="宋体" w:hAnsi="宋体"/>
              </w:rPr>
            </w:pPr>
          </w:p>
        </w:tc>
        <w:tc>
          <w:tcPr>
            <w:tcW w:w="401" w:type="pct"/>
            <w:noWrap w:val="0"/>
            <w:vAlign w:val="center"/>
          </w:tcPr>
          <w:p>
            <w:pPr>
              <w:spacing w:line="300" w:lineRule="exact"/>
              <w:jc w:val="right"/>
              <w:rPr>
                <w:rFonts w:ascii="宋体" w:hAnsi="宋体"/>
              </w:rPr>
            </w:pPr>
          </w:p>
        </w:tc>
      </w:tr>
    </w:tbl>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无政府采购预算，空表列示。</w:t>
      </w: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keepNext w:val="0"/>
        <w:keepLines w:val="0"/>
        <w:widowControl/>
        <w:suppressLineNumbers w:val="0"/>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lang w:val="en-US" w:eastAsia="zh-CN"/>
        </w:rPr>
        <w:t>截止 2022年 12 月 31 日，我办</w:t>
      </w:r>
      <w:r>
        <w:rPr>
          <w:rFonts w:ascii="仿宋" w:hAnsi="仿宋" w:eastAsia="仿宋" w:cs="仿宋"/>
          <w:color w:val="000000"/>
          <w:kern w:val="0"/>
          <w:sz w:val="31"/>
          <w:szCs w:val="31"/>
          <w:lang w:val="en-US" w:eastAsia="zh-CN" w:bidi="ar"/>
        </w:rPr>
        <w:t>国有资产共</w:t>
      </w:r>
      <w:r>
        <w:rPr>
          <w:rFonts w:hint="eastAsia" w:ascii="仿宋" w:hAnsi="仿宋" w:eastAsia="仿宋" w:cs="仿宋"/>
          <w:color w:val="000000"/>
          <w:kern w:val="0"/>
          <w:sz w:val="31"/>
          <w:szCs w:val="31"/>
          <w:lang w:val="en-US" w:eastAsia="zh-CN" w:bidi="ar"/>
        </w:rPr>
        <w:t>有</w:t>
      </w:r>
      <w:r>
        <w:rPr>
          <w:rFonts w:hint="eastAsia" w:ascii="Times New Roman" w:hAnsi="Times New Roman" w:eastAsia="仿宋" w:cs="Times New Roman"/>
          <w:color w:val="000000"/>
          <w:sz w:val="32"/>
          <w:szCs w:val="32"/>
          <w:lang w:val="en-US" w:eastAsia="zh-CN"/>
        </w:rPr>
        <w:t>15.94</w:t>
      </w:r>
      <w:r>
        <w:rPr>
          <w:rFonts w:ascii="Times New Roman" w:hAnsi="Times New Roman" w:eastAsia="仿宋" w:cs="Times New Roman"/>
          <w:color w:val="000000"/>
          <w:sz w:val="32"/>
          <w:szCs w:val="32"/>
        </w:rPr>
        <w:t>万元（详见下表），</w:t>
      </w:r>
      <w:r>
        <w:rPr>
          <w:rFonts w:hint="eastAsia" w:ascii="Times New Roman" w:hAnsi="Times New Roman" w:eastAsia="仿宋" w:cs="Times New Roman"/>
          <w:color w:val="000000"/>
          <w:sz w:val="32"/>
          <w:szCs w:val="32"/>
        </w:rPr>
        <w:t xml:space="preserve">其中：公车采购价 </w:t>
      </w:r>
      <w:r>
        <w:rPr>
          <w:rFonts w:hint="eastAsia" w:ascii="Times New Roman" w:hAnsi="Times New Roman" w:eastAsia="仿宋" w:cs="Times New Roman"/>
          <w:color w:val="000000"/>
          <w:sz w:val="32"/>
          <w:szCs w:val="32"/>
          <w:lang w:val="en-US" w:eastAsia="zh-CN"/>
        </w:rPr>
        <w:t>8.64</w:t>
      </w:r>
      <w:r>
        <w:rPr>
          <w:rFonts w:hint="eastAsia" w:ascii="Times New Roman" w:hAnsi="Times New Roman" w:eastAsia="仿宋" w:cs="Times New Roman"/>
          <w:color w:val="000000"/>
          <w:sz w:val="32"/>
          <w:szCs w:val="32"/>
        </w:rPr>
        <w:t xml:space="preserve"> 万元，</w:t>
      </w:r>
      <w:r>
        <w:rPr>
          <w:rFonts w:hint="eastAsia" w:ascii="Times New Roman" w:hAnsi="Times New Roman" w:eastAsia="仿宋" w:cs="Times New Roman"/>
          <w:color w:val="000000"/>
          <w:sz w:val="32"/>
          <w:szCs w:val="32"/>
          <w:lang w:eastAsia="zh-CN"/>
        </w:rPr>
        <w:t>其他</w:t>
      </w:r>
      <w:r>
        <w:rPr>
          <w:rFonts w:hint="eastAsia" w:ascii="Times New Roman" w:hAnsi="Times New Roman" w:eastAsia="仿宋" w:cs="Times New Roman"/>
          <w:color w:val="000000"/>
          <w:sz w:val="32"/>
          <w:szCs w:val="32"/>
          <w:lang w:val="en-US" w:eastAsia="zh-CN"/>
        </w:rPr>
        <w:t>固定资产3.7万元，</w:t>
      </w:r>
      <w:r>
        <w:rPr>
          <w:rFonts w:ascii="Times New Roman" w:hAnsi="Times New Roman" w:eastAsia="仿宋" w:cs="Times New Roman"/>
          <w:color w:val="000000"/>
          <w:sz w:val="32"/>
          <w:szCs w:val="32"/>
        </w:rPr>
        <w:t>主要为计算机、一体机、空调、打印机、</w:t>
      </w:r>
      <w:r>
        <w:rPr>
          <w:rFonts w:hint="eastAsia" w:ascii="Times New Roman" w:hAnsi="Times New Roman" w:eastAsia="仿宋" w:cs="Times New Roman"/>
          <w:color w:val="000000"/>
          <w:sz w:val="32"/>
          <w:szCs w:val="32"/>
        </w:rPr>
        <w:t>办公家具</w:t>
      </w:r>
      <w:r>
        <w:rPr>
          <w:rFonts w:ascii="Times New Roman" w:hAnsi="Times New Roman" w:eastAsia="仿宋" w:cs="Times New Roman"/>
          <w:color w:val="000000"/>
          <w:sz w:val="32"/>
          <w:szCs w:val="32"/>
        </w:rPr>
        <w:t>等</w:t>
      </w:r>
      <w:r>
        <w:rPr>
          <w:rFonts w:hint="eastAsia" w:ascii="Times New Roman" w:hAnsi="Times New Roman" w:eastAsia="仿宋" w:cs="Times New Roman"/>
          <w:color w:val="000000"/>
          <w:sz w:val="32"/>
          <w:szCs w:val="32"/>
          <w:lang w:eastAsia="zh-CN"/>
        </w:rPr>
        <w:t>。</w:t>
      </w:r>
      <w:r>
        <w:rPr>
          <w:rFonts w:ascii="仿宋" w:hAnsi="仿宋" w:eastAsia="仿宋" w:cs="仿宋"/>
          <w:color w:val="000000"/>
          <w:kern w:val="0"/>
          <w:sz w:val="31"/>
          <w:szCs w:val="31"/>
          <w:lang w:val="en-US" w:eastAsia="zh-CN" w:bidi="ar"/>
        </w:rPr>
        <w:t>202</w:t>
      </w:r>
      <w:r>
        <w:rPr>
          <w:rFonts w:hint="eastAsia" w:ascii="仿宋" w:hAnsi="仿宋" w:eastAsia="仿宋" w:cs="仿宋"/>
          <w:color w:val="000000"/>
          <w:kern w:val="0"/>
          <w:sz w:val="31"/>
          <w:szCs w:val="31"/>
          <w:lang w:val="en-US" w:eastAsia="zh-CN" w:bidi="ar"/>
        </w:rPr>
        <w:t>2</w:t>
      </w:r>
      <w:r>
        <w:rPr>
          <w:rFonts w:ascii="仿宋" w:hAnsi="仿宋" w:eastAsia="仿宋" w:cs="仿宋"/>
          <w:color w:val="000000"/>
          <w:kern w:val="0"/>
          <w:sz w:val="31"/>
          <w:szCs w:val="31"/>
          <w:lang w:val="en-US" w:eastAsia="zh-CN" w:bidi="ar"/>
        </w:rPr>
        <w:t xml:space="preserve"> </w:t>
      </w:r>
      <w:r>
        <w:rPr>
          <w:rFonts w:hint="eastAsia" w:ascii="仿宋" w:hAnsi="仿宋" w:eastAsia="仿宋" w:cs="仿宋"/>
          <w:color w:val="000000"/>
          <w:kern w:val="0"/>
          <w:sz w:val="31"/>
          <w:szCs w:val="31"/>
          <w:lang w:val="en-US" w:eastAsia="zh-CN" w:bidi="ar"/>
        </w:rPr>
        <w:t>年没有安排新购置固定资产。</w:t>
      </w:r>
    </w:p>
    <w:tbl>
      <w:tblPr>
        <w:tblStyle w:val="7"/>
        <w:tblpPr w:leftFromText="180" w:rightFromText="180" w:vertAnchor="text" w:horzAnchor="page" w:tblpX="1479" w:tblpY="204"/>
        <w:tblOverlap w:val="never"/>
        <w:tblW w:w="9787" w:type="dxa"/>
        <w:tblInd w:w="0" w:type="dxa"/>
        <w:tblLayout w:type="fixed"/>
        <w:tblCellMar>
          <w:top w:w="0" w:type="dxa"/>
          <w:left w:w="108" w:type="dxa"/>
          <w:bottom w:w="0" w:type="dxa"/>
          <w:right w:w="108" w:type="dxa"/>
        </w:tblCellMar>
      </w:tblPr>
      <w:tblGrid>
        <w:gridCol w:w="3037"/>
        <w:gridCol w:w="3000"/>
        <w:gridCol w:w="3750"/>
      </w:tblGrid>
      <w:tr>
        <w:tblPrEx>
          <w:tblCellMar>
            <w:top w:w="0" w:type="dxa"/>
            <w:left w:w="108" w:type="dxa"/>
            <w:bottom w:w="0" w:type="dxa"/>
            <w:right w:w="108" w:type="dxa"/>
          </w:tblCellMar>
        </w:tblPrEx>
        <w:trPr>
          <w:trHeight w:val="693" w:hRule="atLeast"/>
        </w:trPr>
        <w:tc>
          <w:tcPr>
            <w:tcW w:w="9787"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highlight w:val="none"/>
                <w:lang w:eastAsia="zh-CN"/>
              </w:rPr>
              <w:t>井陉县委编办</w:t>
            </w:r>
            <w:r>
              <w:rPr>
                <w:rFonts w:hint="eastAsia" w:ascii="宋体" w:hAnsi="宋体" w:cs="宋体"/>
                <w:b/>
                <w:bCs/>
                <w:kern w:val="0"/>
                <w:sz w:val="32"/>
                <w:szCs w:val="32"/>
                <w:highlight w:val="none"/>
              </w:rPr>
              <w:t>固定资产占用情况表</w:t>
            </w:r>
          </w:p>
        </w:tc>
      </w:tr>
      <w:tr>
        <w:tblPrEx>
          <w:tblCellMar>
            <w:top w:w="0" w:type="dxa"/>
            <w:left w:w="108" w:type="dxa"/>
            <w:bottom w:w="0" w:type="dxa"/>
            <w:right w:w="108" w:type="dxa"/>
          </w:tblCellMar>
        </w:tblPrEx>
        <w:trPr>
          <w:trHeight w:val="502" w:hRule="atLeast"/>
        </w:trPr>
        <w:tc>
          <w:tcPr>
            <w:tcW w:w="6037" w:type="dxa"/>
            <w:gridSpan w:val="2"/>
            <w:tcBorders>
              <w:top w:val="nil"/>
              <w:left w:val="nil"/>
              <w:bottom w:val="nil"/>
              <w:right w:val="nil"/>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编制部门：</w:t>
            </w:r>
            <w:r>
              <w:rPr>
                <w:rFonts w:hint="eastAsia" w:ascii="仿宋" w:hAnsi="仿宋" w:eastAsia="仿宋" w:cs="仿宋"/>
                <w:b/>
                <w:sz w:val="22"/>
                <w:szCs w:val="22"/>
              </w:rPr>
              <w:t>中共井陉县委机构编制委员会办公室</w:t>
            </w:r>
          </w:p>
        </w:tc>
        <w:tc>
          <w:tcPr>
            <w:tcW w:w="3750" w:type="dxa"/>
            <w:tcBorders>
              <w:top w:val="nil"/>
              <w:left w:val="nil"/>
              <w:bottom w:val="nil"/>
              <w:right w:val="nil"/>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截止时间：201</w:t>
            </w:r>
            <w:r>
              <w:rPr>
                <w:rFonts w:hint="eastAsia" w:ascii="Times New Roman" w:hAnsi="Times New Roman" w:eastAsia="仿宋" w:cs="Times New Roman"/>
                <w:kern w:val="0"/>
                <w:sz w:val="22"/>
                <w:lang w:val="en-US" w:eastAsia="zh-CN"/>
              </w:rPr>
              <w:t>9</w:t>
            </w:r>
            <w:r>
              <w:rPr>
                <w:rFonts w:ascii="Times New Roman" w:hAnsi="Times New Roman" w:eastAsia="仿宋" w:cs="Times New Roman"/>
                <w:kern w:val="0"/>
                <w:sz w:val="22"/>
              </w:rPr>
              <w:t>年12月31日</w:t>
            </w:r>
          </w:p>
        </w:tc>
      </w:tr>
      <w:tr>
        <w:tblPrEx>
          <w:tblCellMar>
            <w:top w:w="0" w:type="dxa"/>
            <w:left w:w="108" w:type="dxa"/>
            <w:bottom w:w="0" w:type="dxa"/>
            <w:right w:w="108" w:type="dxa"/>
          </w:tblCellMar>
        </w:tblPrEx>
        <w:trPr>
          <w:trHeight w:val="644" w:hRule="atLeast"/>
        </w:trPr>
        <w:tc>
          <w:tcPr>
            <w:tcW w:w="30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w:t>
            </w:r>
          </w:p>
        </w:tc>
        <w:tc>
          <w:tcPr>
            <w:tcW w:w="30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37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4" w:hRule="atLeast"/>
        </w:trPr>
        <w:tc>
          <w:tcPr>
            <w:tcW w:w="303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资产总额</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37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0"/>
                <w:sz w:val="28"/>
                <w:szCs w:val="28"/>
                <w:u w:val="none"/>
                <w:lang w:val="en-US" w:eastAsia="zh-CN" w:bidi="ar"/>
              </w:rPr>
              <w:t>15.94</w:t>
            </w:r>
          </w:p>
        </w:tc>
      </w:tr>
      <w:tr>
        <w:tblPrEx>
          <w:tblCellMar>
            <w:top w:w="0" w:type="dxa"/>
            <w:left w:w="108" w:type="dxa"/>
            <w:bottom w:w="0" w:type="dxa"/>
            <w:right w:w="108" w:type="dxa"/>
          </w:tblCellMar>
        </w:tblPrEx>
        <w:trPr>
          <w:trHeight w:val="644" w:hRule="atLeast"/>
        </w:trPr>
        <w:tc>
          <w:tcPr>
            <w:tcW w:w="30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1、房屋（平方米）</w:t>
            </w:r>
          </w:p>
        </w:tc>
        <w:tc>
          <w:tcPr>
            <w:tcW w:w="300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eastAsia="zh-CN"/>
              </w:rPr>
            </w:pPr>
            <w:r>
              <w:rPr>
                <w:rFonts w:hint="eastAsia" w:ascii="Times New Roman" w:hAnsi="Times New Roman" w:eastAsia="仿宋" w:cs="Times New Roman"/>
                <w:kern w:val="0"/>
                <w:sz w:val="22"/>
                <w:lang w:val="en-US" w:eastAsia="zh-CN"/>
              </w:rPr>
              <w:t>0</w:t>
            </w:r>
          </w:p>
        </w:tc>
        <w:tc>
          <w:tcPr>
            <w:tcW w:w="375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eastAsia="zh-CN"/>
              </w:rPr>
            </w:pPr>
            <w:r>
              <w:rPr>
                <w:rFonts w:hint="eastAsia" w:ascii="Times New Roman" w:hAnsi="Times New Roman" w:eastAsia="仿宋" w:cs="Times New Roman"/>
                <w:kern w:val="0"/>
                <w:sz w:val="22"/>
                <w:lang w:val="en-US" w:eastAsia="zh-CN"/>
              </w:rPr>
              <w:t>0</w:t>
            </w:r>
          </w:p>
        </w:tc>
      </w:tr>
      <w:tr>
        <w:tblPrEx>
          <w:tblCellMar>
            <w:top w:w="0" w:type="dxa"/>
            <w:left w:w="108" w:type="dxa"/>
            <w:bottom w:w="0" w:type="dxa"/>
            <w:right w:w="108" w:type="dxa"/>
          </w:tblCellMar>
        </w:tblPrEx>
        <w:trPr>
          <w:trHeight w:val="644" w:hRule="atLeast"/>
        </w:trPr>
        <w:tc>
          <w:tcPr>
            <w:tcW w:w="30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其中：办公用房（平方米）</w:t>
            </w:r>
          </w:p>
        </w:tc>
        <w:tc>
          <w:tcPr>
            <w:tcW w:w="300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eastAsia="zh-CN"/>
              </w:rPr>
            </w:pPr>
            <w:r>
              <w:rPr>
                <w:rFonts w:hint="eastAsia" w:ascii="Times New Roman" w:hAnsi="Times New Roman" w:eastAsia="仿宋" w:cs="Times New Roman"/>
                <w:kern w:val="0"/>
                <w:sz w:val="22"/>
                <w:lang w:val="en-US" w:eastAsia="zh-CN"/>
              </w:rPr>
              <w:t>0</w:t>
            </w:r>
          </w:p>
        </w:tc>
        <w:tc>
          <w:tcPr>
            <w:tcW w:w="375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eastAsia="zh-CN"/>
              </w:rPr>
            </w:pPr>
            <w:r>
              <w:rPr>
                <w:rFonts w:hint="eastAsia" w:ascii="Times New Roman" w:hAnsi="Times New Roman" w:eastAsia="仿宋" w:cs="Times New Roman"/>
                <w:kern w:val="0"/>
                <w:sz w:val="22"/>
                <w:lang w:val="en-US" w:eastAsia="zh-CN"/>
              </w:rPr>
              <w:t>0</w:t>
            </w:r>
          </w:p>
        </w:tc>
      </w:tr>
      <w:tr>
        <w:tblPrEx>
          <w:tblCellMar>
            <w:top w:w="0" w:type="dxa"/>
            <w:left w:w="108" w:type="dxa"/>
            <w:bottom w:w="0" w:type="dxa"/>
            <w:right w:w="108" w:type="dxa"/>
          </w:tblCellMar>
        </w:tblPrEx>
        <w:trPr>
          <w:trHeight w:val="644" w:hRule="atLeast"/>
        </w:trPr>
        <w:tc>
          <w:tcPr>
            <w:tcW w:w="30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2、车辆（台、辆）</w:t>
            </w:r>
          </w:p>
        </w:tc>
        <w:tc>
          <w:tcPr>
            <w:tcW w:w="300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eastAsia="zh-CN"/>
              </w:rPr>
            </w:pPr>
            <w:r>
              <w:rPr>
                <w:rFonts w:hint="eastAsia" w:ascii="Times New Roman" w:hAnsi="Times New Roman" w:eastAsia="仿宋" w:cs="Times New Roman"/>
                <w:kern w:val="0"/>
                <w:sz w:val="22"/>
                <w:lang w:val="en-US" w:eastAsia="zh-CN"/>
              </w:rPr>
              <w:t>1</w:t>
            </w:r>
          </w:p>
        </w:tc>
        <w:tc>
          <w:tcPr>
            <w:tcW w:w="3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8.64</w:t>
            </w:r>
          </w:p>
        </w:tc>
      </w:tr>
      <w:tr>
        <w:tblPrEx>
          <w:tblCellMar>
            <w:top w:w="0" w:type="dxa"/>
            <w:left w:w="108" w:type="dxa"/>
            <w:bottom w:w="0" w:type="dxa"/>
            <w:right w:w="108" w:type="dxa"/>
          </w:tblCellMar>
        </w:tblPrEx>
        <w:trPr>
          <w:trHeight w:val="644" w:hRule="atLeast"/>
        </w:trPr>
        <w:tc>
          <w:tcPr>
            <w:tcW w:w="30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3、单价在20万元以上设备</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375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eastAsia="zh-CN"/>
              </w:rPr>
            </w:pPr>
            <w:r>
              <w:rPr>
                <w:rFonts w:hint="eastAsia" w:ascii="Times New Roman" w:hAnsi="Times New Roman" w:eastAsia="仿宋" w:cs="Times New Roman"/>
                <w:kern w:val="0"/>
                <w:sz w:val="22"/>
                <w:lang w:val="en-US" w:eastAsia="zh-CN"/>
              </w:rPr>
              <w:t>0</w:t>
            </w:r>
          </w:p>
        </w:tc>
      </w:tr>
      <w:tr>
        <w:tblPrEx>
          <w:tblCellMar>
            <w:top w:w="0" w:type="dxa"/>
            <w:left w:w="108" w:type="dxa"/>
            <w:bottom w:w="0" w:type="dxa"/>
            <w:right w:w="108" w:type="dxa"/>
          </w:tblCellMar>
        </w:tblPrEx>
        <w:trPr>
          <w:trHeight w:val="654" w:hRule="atLeast"/>
        </w:trPr>
        <w:tc>
          <w:tcPr>
            <w:tcW w:w="303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4、其他固定资产</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37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0"/>
                <w:sz w:val="28"/>
                <w:szCs w:val="28"/>
                <w:u w:val="none"/>
                <w:lang w:val="en-US" w:eastAsia="zh-CN" w:bidi="ar"/>
              </w:rPr>
              <w:t>7.3</w:t>
            </w:r>
          </w:p>
        </w:tc>
      </w:tr>
    </w:tbl>
    <w:p>
      <w:pPr>
        <w:autoSpaceDE w:val="0"/>
        <w:autoSpaceDN w:val="0"/>
        <w:adjustRightInd w:val="0"/>
        <w:jc w:val="left"/>
        <w:rPr>
          <w:rFonts w:hint="eastAsia" w:ascii="黑体" w:hAnsi="黑体" w:eastAsia="黑体" w:cs="Times New Roman"/>
          <w:sz w:val="32"/>
          <w:szCs w:val="32"/>
        </w:rPr>
      </w:pP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八、名词解释</w:t>
      </w:r>
      <w:bookmarkStart w:id="4" w:name="_GoBack"/>
      <w:bookmarkEnd w:id="4"/>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1、一般公共预算拨款收入：指</w:t>
      </w:r>
      <w:r>
        <w:rPr>
          <w:rFonts w:hint="eastAsia" w:ascii="Times New Roman" w:hAnsi="Times New Roman" w:eastAsia="仿宋" w:cs="Times New Roman"/>
          <w:sz w:val="32"/>
          <w:szCs w:val="32"/>
          <w:highlight w:val="none"/>
          <w:lang w:eastAsia="zh-CN"/>
        </w:rPr>
        <w:t>县</w:t>
      </w:r>
      <w:r>
        <w:rPr>
          <w:rFonts w:hint="eastAsia" w:ascii="Times New Roman" w:hAnsi="Times New Roman" w:eastAsia="仿宋" w:cs="Times New Roman"/>
          <w:sz w:val="32"/>
          <w:szCs w:val="32"/>
          <w:highlight w:val="none"/>
        </w:rPr>
        <w:t>级</w:t>
      </w:r>
      <w:r>
        <w:rPr>
          <w:rFonts w:hint="eastAsia" w:ascii="Times New Roman" w:hAnsi="Times New Roman" w:eastAsia="仿宋" w:cs="Times New Roman"/>
          <w:sz w:val="32"/>
          <w:szCs w:val="32"/>
        </w:rPr>
        <w:t>财政当年拨付的资金。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2、事业收入：指事业单位开展专业业务活动及辅助活动所取得的收入。</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3、其他收入：指除“一般公共预算拨款收入”、“事业收入”等以外的收入。主要是按规定动用的租房收入、存款利息收入等。</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4、基本支出：指为保障机构正常运转、完成日常工作任务而发生的人员支出和公用支出。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5、项目支出：指在基本支出之外为完成特定行政任务和事业发展目标所发生的支出。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6、上缴上级支出：指下级单位上缴上级的支出。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7、“三公”经费：纳入</w:t>
      </w:r>
      <w:r>
        <w:rPr>
          <w:rFonts w:hint="eastAsia" w:ascii="Times New Roman" w:hAnsi="Times New Roman" w:eastAsia="仿宋" w:cs="Times New Roman"/>
          <w:sz w:val="32"/>
          <w:szCs w:val="32"/>
          <w:highlight w:val="none"/>
          <w:lang w:eastAsia="zh-CN"/>
        </w:rPr>
        <w:t>县</w:t>
      </w:r>
      <w:r>
        <w:rPr>
          <w:rFonts w:hint="eastAsia" w:ascii="Times New Roman" w:hAnsi="Times New Roman" w:eastAsia="仿宋" w:cs="Times New Roman"/>
          <w:sz w:val="32"/>
          <w:szCs w:val="32"/>
          <w:highlight w:val="none"/>
        </w:rPr>
        <w:t>级</w:t>
      </w:r>
      <w:r>
        <w:rPr>
          <w:rFonts w:hint="eastAsia" w:ascii="Times New Roman" w:hAnsi="Times New Roman" w:eastAsia="仿宋" w:cs="Times New Roman"/>
          <w:sz w:val="32"/>
          <w:szCs w:val="32"/>
        </w:rPr>
        <w:t>财政预算管理的“三公”经费，是指</w:t>
      </w:r>
      <w:r>
        <w:rPr>
          <w:rFonts w:hint="eastAsia" w:ascii="Times New Roman" w:hAnsi="Times New Roman" w:eastAsia="仿宋" w:cs="Times New Roman"/>
          <w:sz w:val="32"/>
          <w:szCs w:val="32"/>
          <w:lang w:eastAsia="zh-CN"/>
        </w:rPr>
        <w:t>县</w:t>
      </w:r>
      <w:r>
        <w:rPr>
          <w:rFonts w:hint="eastAsia" w:ascii="Times New Roman" w:hAnsi="Times New Roman"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9、上年结转：指以前年度尚未完成、结转到本年仍按原规定用途继续使用的资金。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10、事业单位经营支出：指事业单位在专业业务活动及其辅助活动之外开展非独立核算经营活动发生的支出。</w:t>
      </w:r>
    </w:p>
    <w:p>
      <w:pPr>
        <w:ind w:firstLine="643" w:firstLineChars="200"/>
        <w:rPr>
          <w:rFonts w:ascii="宋体-方正超大字符集" w:hAnsi="宋体-方正超大字符集" w:eastAsia="宋体-方正超大字符集" w:cs="宋体-方正超大字符集"/>
          <w:b/>
          <w:bCs/>
          <w:sz w:val="32"/>
          <w:szCs w:val="32"/>
        </w:rPr>
      </w:pPr>
      <w:r>
        <w:rPr>
          <w:rFonts w:hint="eastAsia" w:ascii="宋体-方正超大字符集" w:hAnsi="宋体-方正超大字符集" w:eastAsia="宋体-方正超大字符集" w:cs="宋体-方正超大字符集"/>
          <w:b/>
          <w:bCs/>
          <w:sz w:val="32"/>
          <w:szCs w:val="32"/>
        </w:rPr>
        <w:t>九、其他需要说明的事项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我部门无其他需要说明的事项。</w:t>
      </w:r>
    </w:p>
    <w:sectPr>
      <w:footerReference r:id="rId3" w:type="default"/>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1"/>
      </w:rPr>
    </w:pPr>
    <w:r>
      <w:fldChar w:fldCharType="begin"/>
    </w:r>
    <w:r>
      <w:rPr>
        <w:rStyle w:val="11"/>
      </w:rPr>
      <w:instrText xml:space="preserve">PAGE  </w:instrText>
    </w:r>
    <w:r>
      <w:fldChar w:fldCharType="separate"/>
    </w:r>
    <w:r>
      <w:rPr>
        <w:rStyle w:val="11"/>
      </w:rPr>
      <w:t>12</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7DC75B"/>
    <w:multiLevelType w:val="singleLevel"/>
    <w:tmpl w:val="707DC75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oNotDisplayPageBoundaries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BA"/>
    <w:rsid w:val="000C7140"/>
    <w:rsid w:val="00323B29"/>
    <w:rsid w:val="0039059E"/>
    <w:rsid w:val="007F0341"/>
    <w:rsid w:val="009A521C"/>
    <w:rsid w:val="00D607DA"/>
    <w:rsid w:val="00DC6EE5"/>
    <w:rsid w:val="00EE71BA"/>
    <w:rsid w:val="00F867E4"/>
    <w:rsid w:val="01BE38AC"/>
    <w:rsid w:val="0B57506C"/>
    <w:rsid w:val="0FC34E93"/>
    <w:rsid w:val="109F3793"/>
    <w:rsid w:val="11E2748E"/>
    <w:rsid w:val="131036FF"/>
    <w:rsid w:val="13C976A8"/>
    <w:rsid w:val="1AA53E63"/>
    <w:rsid w:val="1BFE3016"/>
    <w:rsid w:val="20750F06"/>
    <w:rsid w:val="25723CA9"/>
    <w:rsid w:val="257A43B7"/>
    <w:rsid w:val="27676554"/>
    <w:rsid w:val="27B1274F"/>
    <w:rsid w:val="295E5616"/>
    <w:rsid w:val="2E3D475E"/>
    <w:rsid w:val="339E6033"/>
    <w:rsid w:val="33E13708"/>
    <w:rsid w:val="37F54AA1"/>
    <w:rsid w:val="3FF27CF8"/>
    <w:rsid w:val="40205903"/>
    <w:rsid w:val="41380D1B"/>
    <w:rsid w:val="42387C7F"/>
    <w:rsid w:val="42CE6685"/>
    <w:rsid w:val="4535423F"/>
    <w:rsid w:val="473670A4"/>
    <w:rsid w:val="494A4B1E"/>
    <w:rsid w:val="4E7C1B36"/>
    <w:rsid w:val="604E046C"/>
    <w:rsid w:val="61A45E11"/>
    <w:rsid w:val="66B55220"/>
    <w:rsid w:val="6BE26198"/>
    <w:rsid w:val="6E6B09DD"/>
    <w:rsid w:val="7041132D"/>
    <w:rsid w:val="778F1C0F"/>
    <w:rsid w:val="78C07F42"/>
    <w:rsid w:val="7E5F1034"/>
    <w:rsid w:val="7FF7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qFormat/>
    <w:uiPriority w:val="0"/>
    <w:rPr>
      <w:rFonts w:ascii="Times New Roman" w:hAnsi="Times New Roman" w:cs="Times New Roman"/>
      <w:szCs w:val="24"/>
    </w:rPr>
  </w:style>
  <w:style w:type="paragraph" w:styleId="5">
    <w:name w:val="footnote text"/>
    <w:basedOn w:val="1"/>
    <w:qFormat/>
    <w:uiPriority w:val="0"/>
    <w:pPr>
      <w:snapToGrid w:val="0"/>
      <w:jc w:val="left"/>
    </w:pPr>
    <w:rPr>
      <w:sz w:val="18"/>
      <w:szCs w:val="18"/>
    </w:rPr>
  </w:style>
  <w:style w:type="paragraph" w:styleId="6">
    <w:name w:val="toc 2"/>
    <w:basedOn w:val="1"/>
    <w:next w:val="1"/>
    <w:qFormat/>
    <w:uiPriority w:val="0"/>
    <w:pPr>
      <w:ind w:left="420" w:leftChars="200"/>
    </w:pPr>
    <w:rPr>
      <w:rFonts w:ascii="Times New Roman" w:hAnsi="Times New Roman" w:cs="Times New Roman"/>
      <w:szCs w:val="24"/>
    </w:rPr>
  </w:style>
  <w:style w:type="character" w:styleId="9">
    <w:name w:val="footnote reference"/>
    <w:qFormat/>
    <w:uiPriority w:val="0"/>
    <w:rPr>
      <w:vertAlign w:val="superscript"/>
    </w:rPr>
  </w:style>
  <w:style w:type="paragraph" w:customStyle="1" w:styleId="10">
    <w:name w:val="Char"/>
    <w:basedOn w:val="1"/>
    <w:qFormat/>
    <w:uiPriority w:val="0"/>
    <w:rPr>
      <w:rFonts w:ascii="Times New Roman" w:hAnsi="Times New Roman" w:cs="Times New Roman"/>
      <w:szCs w:val="24"/>
    </w:rPr>
  </w:style>
  <w:style w:type="character" w:customStyle="1" w:styleId="11">
    <w:name w:val="页码1"/>
    <w:qFormat/>
    <w:uiPriority w:val="0"/>
  </w:style>
  <w:style w:type="character" w:customStyle="1" w:styleId="12">
    <w:name w:val="页脚 Char"/>
    <w:link w:val="2"/>
    <w:semiHidden/>
    <w:qFormat/>
    <w:uiPriority w:val="0"/>
    <w:rPr>
      <w:rFonts w:ascii="Times New Roman" w:hAnsi="Times New Roman" w:eastAsia="宋体" w:cs="Times New Roman"/>
      <w:sz w:val="18"/>
      <w:szCs w:val="18"/>
    </w:rPr>
  </w:style>
  <w:style w:type="character" w:customStyle="1" w:styleId="13">
    <w:name w:val="页眉 Char"/>
    <w:link w:val="3"/>
    <w:semiHidden/>
    <w:qFormat/>
    <w:uiPriority w:val="0"/>
    <w:rPr>
      <w:rFonts w:ascii="Times New Roman" w:hAnsi="Times New Roman" w:eastAsia="宋体" w:cs="Times New Roman"/>
      <w:sz w:val="18"/>
      <w:szCs w:val="18"/>
    </w:rPr>
  </w:style>
  <w:style w:type="character" w:customStyle="1" w:styleId="14">
    <w:name w:val="font11"/>
    <w:basedOn w:val="8"/>
    <w:qFormat/>
    <w:uiPriority w:val="0"/>
    <w:rPr>
      <w:rFonts w:hint="default" w:ascii="Times New Roman" w:hAnsi="Times New Roman" w:cs="Times New Roman"/>
      <w:b/>
      <w:color w:val="000000"/>
      <w:sz w:val="24"/>
      <w:szCs w:val="24"/>
      <w:u w:val="none"/>
    </w:rPr>
  </w:style>
  <w:style w:type="character" w:customStyle="1" w:styleId="15">
    <w:name w:val="font21"/>
    <w:basedOn w:val="8"/>
    <w:qFormat/>
    <w:uiPriority w:val="0"/>
    <w:rPr>
      <w:rFonts w:hint="default" w:ascii="方正书宋_GBK" w:hAnsi="方正书宋_GBK" w:eastAsia="方正书宋_GBK" w:cs="方正书宋_GBK"/>
      <w:b/>
      <w:color w:val="000000"/>
      <w:sz w:val="24"/>
      <w:szCs w:val="24"/>
      <w:u w:val="none"/>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0">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1322</Words>
  <Characters>7536</Characters>
  <Lines>62</Lines>
  <Paragraphs>17</Paragraphs>
  <TotalTime>8</TotalTime>
  <ScaleCrop>false</ScaleCrop>
  <LinksUpToDate>false</LinksUpToDate>
  <CharactersWithSpaces>8841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2017-01-23T17:29:00Z</dcterms:created>
  <dc:creator>guest</dc:creator>
  <cp:lastModifiedBy>乘风破浪</cp:lastModifiedBy>
  <cp:lastPrinted>2020-01-10T15:53:00Z</cp:lastPrinted>
  <dcterms:modified xsi:type="dcterms:W3CDTF">2022-02-17T07:45:47Z</dcterms:modified>
  <dc:title>o</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866A6FE4ECAE484F919A5173C458DE78</vt:lpwstr>
  </property>
</Properties>
</file>