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仿宋" w:hAnsi="仿宋" w:eastAsia="仿宋"/>
          <w:sz w:val="32"/>
          <w:szCs w:val="32"/>
          <w:lang w:val="en-US" w:eastAsia="zh-CN"/>
        </w:rPr>
      </w:pPr>
      <w:r>
        <w:rPr>
          <w:rFonts w:hint="eastAsia" w:ascii="宋体" w:hAnsi="宋体"/>
          <w:b/>
          <w:sz w:val="44"/>
          <w:szCs w:val="44"/>
        </w:rPr>
        <w:t>高邑县</w:t>
      </w:r>
      <w:r>
        <w:rPr>
          <w:rFonts w:hint="eastAsia" w:ascii="宋体" w:hAnsi="宋体" w:eastAsia="宋体" w:cs="宋体"/>
          <w:b/>
          <w:bCs/>
          <w:sz w:val="44"/>
          <w:szCs w:val="44"/>
          <w:lang w:val="en-US" w:eastAsia="zh-CN"/>
        </w:rPr>
        <w:t>机构编制委员会办公室</w:t>
      </w:r>
    </w:p>
    <w:p>
      <w:pPr>
        <w:ind w:firstLine="883" w:firstLineChars="200"/>
        <w:jc w:val="center"/>
        <w:rPr>
          <w:rFonts w:hint="eastAsia" w:ascii="宋体" w:hAnsi="宋体"/>
          <w:b/>
          <w:sz w:val="44"/>
          <w:szCs w:val="44"/>
        </w:rPr>
      </w:pPr>
      <w:r>
        <w:rPr>
          <w:rFonts w:ascii="宋体" w:hAnsi="宋体"/>
          <w:b/>
          <w:sz w:val="44"/>
          <w:szCs w:val="44"/>
        </w:rPr>
        <w:t>201</w:t>
      </w:r>
      <w:r>
        <w:rPr>
          <w:rFonts w:hint="eastAsia" w:ascii="宋体" w:hAnsi="宋体"/>
          <w:b/>
          <w:sz w:val="44"/>
          <w:szCs w:val="44"/>
          <w:lang w:val="en-US" w:eastAsia="zh-CN"/>
        </w:rPr>
        <w:t>9</w:t>
      </w:r>
      <w:r>
        <w:rPr>
          <w:rFonts w:hint="eastAsia" w:ascii="宋体" w:hAnsi="宋体"/>
          <w:b/>
          <w:sz w:val="44"/>
          <w:szCs w:val="44"/>
        </w:rPr>
        <w:t>年部门预算信息公开</w:t>
      </w:r>
    </w:p>
    <w:p>
      <w:pPr>
        <w:ind w:firstLine="880" w:firstLineChars="200"/>
        <w:jc w:val="center"/>
        <w:rPr>
          <w:rFonts w:ascii="宋体" w:hAnsi="宋体"/>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按照《预算法》、《地方预决算公开操作规程》和《河北省省级预算公开办法》等有关规定，现将</w:t>
      </w:r>
      <w:r>
        <w:rPr>
          <w:rFonts w:hint="eastAsia" w:ascii="仿宋" w:hAnsi="仿宋" w:eastAsia="仿宋"/>
          <w:sz w:val="32"/>
          <w:szCs w:val="32"/>
          <w:lang w:val="en-US" w:eastAsia="zh-CN"/>
        </w:rPr>
        <w:t>高邑县机构编制委员会办公室</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hint="eastAsia" w:ascii="仿宋" w:hAnsi="仿宋" w:eastAsia="仿宋"/>
          <w:b/>
          <w:sz w:val="32"/>
          <w:szCs w:val="32"/>
        </w:rPr>
      </w:pPr>
      <w:r>
        <w:rPr>
          <w:rFonts w:hint="eastAsia" w:ascii="仿宋" w:hAnsi="仿宋" w:eastAsia="仿宋"/>
          <w:b/>
          <w:sz w:val="32"/>
          <w:szCs w:val="32"/>
        </w:rPr>
        <w:t>部门职责：</w:t>
      </w:r>
    </w:p>
    <w:p>
      <w:pPr>
        <w:pStyle w:val="4"/>
        <w:shd w:val="clear" w:color="auto" w:fill="FFFFFF"/>
        <w:spacing w:before="0" w:beforeAutospacing="0" w:after="0" w:afterAutospacing="0"/>
        <w:ind w:firstLine="627" w:firstLineChars="196"/>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中共高邑县委机构编制委员会办公室为县委机构编制委员会的常设办事机构。主要职责：</w:t>
      </w:r>
    </w:p>
    <w:p>
      <w:pPr>
        <w:ind w:firstLine="640" w:firstLineChars="200"/>
        <w:rPr>
          <w:rFonts w:hint="eastAsia"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（一）贯彻执行上级有关行政管理体制、机构改革以及机构编制管理的法律、法规、方针、政策，研究拟定实施意见并组织实施。</w:t>
      </w:r>
      <w:r>
        <w:rPr>
          <w:rFonts w:hint="eastAsia" w:ascii="仿宋" w:hAnsi="仿宋" w:eastAsia="仿宋" w:cstheme="minorBidi"/>
          <w:kern w:val="2"/>
          <w:sz w:val="32"/>
          <w:szCs w:val="32"/>
          <w:lang w:val="en-US" w:eastAsia="zh-CN" w:bidi="ar-SA"/>
        </w:rPr>
        <w:t>管理和指导全县各党政机关，人大、政协、法院、检察院机关，人民团体机关的机构编制工作；管理和指导全县事业单位机构编制工作。</w:t>
      </w:r>
    </w:p>
    <w:p>
      <w:pPr>
        <w:ind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（二）研究拟定全县行政管理体制和机构改革总体方案；</w:t>
      </w:r>
      <w:r>
        <w:rPr>
          <w:rFonts w:hint="default" w:ascii="仿宋" w:hAnsi="仿宋" w:eastAsia="仿宋" w:cstheme="minorBidi"/>
          <w:kern w:val="2"/>
          <w:sz w:val="32"/>
          <w:szCs w:val="32"/>
          <w:lang w:val="en-US" w:eastAsia="zh-CN" w:bidi="ar-SA"/>
        </w:rPr>
        <w:t>审核县级党政群机关和乡（镇）机构改革方案，</w:t>
      </w:r>
      <w:r>
        <w:rPr>
          <w:rFonts w:hint="eastAsia" w:ascii="仿宋" w:hAnsi="仿宋" w:eastAsia="仿宋" w:cstheme="minorBidi"/>
          <w:kern w:val="2"/>
          <w:sz w:val="32"/>
          <w:szCs w:val="32"/>
          <w:lang w:val="en-US" w:eastAsia="zh-CN" w:bidi="ar-SA"/>
        </w:rPr>
        <w:t>指导、协调乡镇行政管理体制和机构改革以及机构编制管理工作。</w:t>
      </w:r>
    </w:p>
    <w:p>
      <w:pPr>
        <w:pStyle w:val="4"/>
        <w:shd w:val="clear" w:color="auto" w:fill="FFFFFF"/>
        <w:spacing w:before="0" w:beforeAutospacing="0" w:after="0" w:afterAutospacing="0"/>
        <w:ind w:firstLine="627" w:firstLineChars="196"/>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（三）协调县委、县政府各部门的职能配置及其调整；协调县委各部门之间、县政府各部门之间、县委各部门与县政府各部门之间以及县直各部门与乡镇之间的职责分工。</w:t>
      </w:r>
    </w:p>
    <w:p>
      <w:pPr>
        <w:pStyle w:val="4"/>
        <w:shd w:val="clear" w:color="auto" w:fill="FFFFFF"/>
        <w:spacing w:before="0" w:beforeAutospacing="0" w:after="0" w:afterAutospacing="0"/>
        <w:ind w:firstLine="627" w:firstLineChars="196"/>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（四）</w:t>
      </w:r>
      <w:r>
        <w:rPr>
          <w:rFonts w:hint="eastAsia" w:ascii="仿宋" w:hAnsi="仿宋" w:eastAsia="仿宋" w:cstheme="minorBidi"/>
          <w:kern w:val="2"/>
          <w:sz w:val="32"/>
          <w:szCs w:val="32"/>
          <w:lang w:val="en-US" w:eastAsia="zh-CN" w:bidi="ar-SA"/>
        </w:rPr>
        <w:t>审核县委、县政府各部门职能配置、内设机构、人员编制和领导职数；审核全县各类机关人员编制总额</w:t>
      </w:r>
      <w:r>
        <w:rPr>
          <w:rFonts w:hint="default" w:ascii="仿宋" w:hAnsi="仿宋" w:eastAsia="仿宋" w:cstheme="minorBidi"/>
          <w:kern w:val="2"/>
          <w:sz w:val="32"/>
          <w:szCs w:val="32"/>
          <w:lang w:val="en-US" w:eastAsia="zh-CN" w:bidi="ar-SA"/>
        </w:rPr>
        <w:t>。</w:t>
      </w:r>
    </w:p>
    <w:p>
      <w:pPr>
        <w:pStyle w:val="4"/>
        <w:shd w:val="clear" w:color="auto" w:fill="FFFFFF"/>
        <w:spacing w:before="0" w:beforeAutospacing="0" w:after="0" w:afterAutospacing="0"/>
        <w:ind w:firstLine="627" w:firstLineChars="196"/>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（五）研究拟定全县事业单位管理体制和机构改革方案以及相配套的实施意见；审核县委、县政府各直属事业单位、部门管理的事业单位以及乡镇事业单位的机构编制方案。</w:t>
      </w:r>
    </w:p>
    <w:p>
      <w:pPr>
        <w:pStyle w:val="4"/>
        <w:shd w:val="clear" w:color="auto" w:fill="FFFFFF"/>
        <w:spacing w:before="0" w:beforeAutospacing="0" w:after="0" w:afterAutospacing="0"/>
        <w:ind w:firstLine="627" w:firstLineChars="196"/>
        <w:rPr>
          <w:rFonts w:hint="eastAsia"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（六）按照《国务院事业单位登记管理暂行条例》的有关规定，履行全县各级各类事业单位登记的行政管理职能，指导全县事业单位法人登记管理工作。</w:t>
      </w:r>
    </w:p>
    <w:p>
      <w:pPr>
        <w:pStyle w:val="4"/>
        <w:shd w:val="clear" w:color="auto" w:fill="FFFFFF"/>
        <w:spacing w:before="0" w:beforeAutospacing="0" w:after="0" w:afterAutospacing="0"/>
        <w:ind w:firstLine="627" w:firstLineChars="196"/>
        <w:rPr>
          <w:rFonts w:hint="eastAsia"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（七）</w:t>
      </w:r>
      <w:r>
        <w:rPr>
          <w:rFonts w:hint="eastAsia" w:ascii="仿宋" w:hAnsi="仿宋" w:eastAsia="仿宋" w:cstheme="minorBidi"/>
          <w:kern w:val="2"/>
          <w:sz w:val="32"/>
          <w:szCs w:val="32"/>
          <w:lang w:val="en-US" w:eastAsia="zh-CN" w:bidi="ar-SA"/>
        </w:rPr>
        <w:t>指导和协调行政审批制度改革工作；研究提出取消和保留的行政审批项目；协调落实上级取消下放的行政审批事项；负责行政审批制度改革的监督检查和综合考核评价；承担行政审批制度改革领导小组的日常工作。</w:t>
      </w:r>
    </w:p>
    <w:p>
      <w:pPr>
        <w:pStyle w:val="4"/>
        <w:shd w:val="clear" w:color="auto" w:fill="FFFFFF"/>
        <w:spacing w:before="0" w:beforeAutospacing="0" w:after="0" w:afterAutospacing="0"/>
        <w:ind w:firstLine="627" w:firstLineChars="196"/>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（八）负责机构编制日常管理，监督检查全县行政管理体制改革、机构改革以及机构编制方案的执行情况。</w:t>
      </w:r>
    </w:p>
    <w:p>
      <w:pPr>
        <w:pStyle w:val="4"/>
        <w:shd w:val="clear" w:color="auto" w:fill="FFFFFF"/>
        <w:spacing w:before="0" w:beforeAutospacing="0" w:after="0" w:afterAutospacing="0"/>
        <w:ind w:firstLine="627" w:firstLineChars="196"/>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（九）</w:t>
      </w:r>
      <w:r>
        <w:rPr>
          <w:rFonts w:hint="default" w:ascii="仿宋" w:hAnsi="仿宋" w:eastAsia="仿宋" w:cstheme="minorBidi"/>
          <w:kern w:val="2"/>
          <w:sz w:val="32"/>
          <w:szCs w:val="32"/>
          <w:lang w:val="en-US" w:eastAsia="zh-CN" w:bidi="ar-SA"/>
        </w:rPr>
        <w:t>承办县委、县政府和县机构编制委员会交办的其它工作。</w:t>
      </w:r>
    </w:p>
    <w:p>
      <w:pPr>
        <w:ind w:firstLine="643" w:firstLineChars="200"/>
        <w:outlineLvl w:val="0"/>
        <w:rPr>
          <w:rFonts w:hint="eastAsia" w:ascii="仿宋" w:hAnsi="仿宋" w:eastAsia="仿宋"/>
          <w:b/>
          <w:sz w:val="32"/>
          <w:szCs w:val="32"/>
        </w:rPr>
      </w:pPr>
    </w:p>
    <w:p>
      <w:pPr>
        <w:ind w:firstLine="643" w:firstLineChars="200"/>
        <w:outlineLvl w:val="0"/>
        <w:rPr>
          <w:rFonts w:hint="eastAsia" w:ascii="仿宋" w:hAnsi="仿宋" w:eastAsia="仿宋"/>
          <w:b/>
          <w:sz w:val="32"/>
          <w:szCs w:val="32"/>
        </w:rPr>
      </w:pPr>
      <w:r>
        <w:rPr>
          <w:rFonts w:hint="eastAsia" w:ascii="仿宋" w:hAnsi="仿宋" w:eastAsia="仿宋"/>
          <w:b/>
          <w:sz w:val="32"/>
          <w:szCs w:val="32"/>
        </w:rPr>
        <w:t>机构设置：</w:t>
      </w:r>
    </w:p>
    <w:p>
      <w:pPr>
        <w:ind w:firstLine="640" w:firstLineChars="200"/>
        <w:outlineLvl w:val="0"/>
        <w:rPr>
          <w:rFonts w:hint="eastAsia" w:ascii="仿宋" w:hAnsi="仿宋" w:eastAsia="仿宋"/>
          <w:sz w:val="32"/>
          <w:szCs w:val="32"/>
        </w:rPr>
      </w:pPr>
      <w:r>
        <w:rPr>
          <w:rFonts w:hint="eastAsia" w:ascii="仿宋" w:hAnsi="仿宋" w:eastAsia="仿宋"/>
          <w:sz w:val="32"/>
          <w:szCs w:val="32"/>
        </w:rPr>
        <w:t>从预算单位构成来看：高邑县机构编制委员会办公室主要包括</w:t>
      </w:r>
      <w:r>
        <w:rPr>
          <w:rFonts w:hint="eastAsia" w:ascii="仿宋" w:hAnsi="仿宋" w:eastAsia="仿宋"/>
          <w:sz w:val="32"/>
          <w:szCs w:val="32"/>
          <w:lang w:val="en-US" w:eastAsia="zh-CN"/>
        </w:rPr>
        <w:t>1</w:t>
      </w:r>
      <w:r>
        <w:rPr>
          <w:rFonts w:hint="eastAsia" w:ascii="仿宋" w:hAnsi="仿宋" w:eastAsia="仿宋"/>
          <w:sz w:val="32"/>
          <w:szCs w:val="32"/>
        </w:rPr>
        <w:t>个预算单位，具体情况如下：</w:t>
      </w:r>
      <w:r>
        <w:rPr>
          <w:rFonts w:hint="eastAsia" w:ascii="仿宋" w:hAnsi="仿宋" w:eastAsia="仿宋"/>
          <w:sz w:val="32"/>
          <w:szCs w:val="32"/>
          <w:lang w:eastAsia="zh-CN"/>
        </w:rPr>
        <w:t>中共</w:t>
      </w:r>
      <w:r>
        <w:rPr>
          <w:rFonts w:hint="eastAsia" w:ascii="仿宋" w:hAnsi="仿宋" w:eastAsia="仿宋"/>
          <w:sz w:val="32"/>
          <w:szCs w:val="32"/>
        </w:rPr>
        <w:t>高邑县</w:t>
      </w:r>
      <w:r>
        <w:rPr>
          <w:rFonts w:hint="eastAsia" w:ascii="仿宋" w:hAnsi="仿宋" w:eastAsia="仿宋"/>
          <w:sz w:val="32"/>
          <w:szCs w:val="32"/>
          <w:lang w:eastAsia="zh-CN"/>
        </w:rPr>
        <w:t>委</w:t>
      </w:r>
      <w:r>
        <w:rPr>
          <w:rFonts w:hint="eastAsia" w:ascii="仿宋" w:hAnsi="仿宋" w:eastAsia="仿宋"/>
          <w:sz w:val="32"/>
          <w:szCs w:val="32"/>
        </w:rPr>
        <w:t>机构编制委员会办公室为正科级</w:t>
      </w:r>
      <w:r>
        <w:rPr>
          <w:rFonts w:hint="eastAsia" w:ascii="仿宋" w:hAnsi="仿宋" w:eastAsia="仿宋"/>
          <w:sz w:val="32"/>
          <w:szCs w:val="32"/>
          <w:lang w:val="en-US" w:eastAsia="zh-CN"/>
        </w:rPr>
        <w:t>行政</w:t>
      </w:r>
      <w:r>
        <w:rPr>
          <w:rFonts w:hint="eastAsia" w:ascii="仿宋" w:hAnsi="仿宋" w:eastAsia="仿宋"/>
          <w:sz w:val="32"/>
          <w:szCs w:val="32"/>
        </w:rPr>
        <w:t>单位，经费保障形式为财政拨款。</w:t>
      </w:r>
    </w:p>
    <w:p>
      <w:pPr>
        <w:jc w:val="center"/>
        <w:outlineLvl w:val="0"/>
        <w:rPr>
          <w:rFonts w:ascii="宋体" w:hAnsi="宋体"/>
          <w:b/>
          <w:sz w:val="32"/>
          <w:szCs w:val="24"/>
        </w:rPr>
      </w:pPr>
      <w:r>
        <w:rPr>
          <w:rFonts w:hint="eastAsia" w:ascii="宋体" w:hAnsi="宋体"/>
          <w:b/>
          <w:sz w:val="32"/>
          <w:szCs w:val="24"/>
        </w:rPr>
        <w:t>部门机构设置情况</w:t>
      </w:r>
    </w:p>
    <w:tbl>
      <w:tblPr>
        <w:tblStyle w:val="2"/>
        <w:tblW w:w="10805" w:type="dxa"/>
        <w:tblInd w:w="8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37"/>
        <w:gridCol w:w="832"/>
        <w:gridCol w:w="1476"/>
        <w:gridCol w:w="3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trPr>
        <w:tc>
          <w:tcPr>
            <w:tcW w:w="5437"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单位名称</w:t>
            </w:r>
          </w:p>
        </w:tc>
        <w:tc>
          <w:tcPr>
            <w:tcW w:w="832"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单位性质</w:t>
            </w:r>
          </w:p>
        </w:tc>
        <w:tc>
          <w:tcPr>
            <w:tcW w:w="1476"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单位规格</w:t>
            </w:r>
          </w:p>
        </w:tc>
        <w:tc>
          <w:tcPr>
            <w:tcW w:w="3060"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trPr>
        <w:tc>
          <w:tcPr>
            <w:tcW w:w="5437" w:type="dxa"/>
            <w:vMerge w:val="continue"/>
            <w:vAlign w:val="center"/>
          </w:tcPr>
          <w:p>
            <w:pPr>
              <w:spacing w:line="300" w:lineRule="exact"/>
              <w:jc w:val="center"/>
              <w:outlineLvl w:val="0"/>
              <w:rPr>
                <w:rFonts w:ascii="仿宋" w:hAnsi="仿宋" w:eastAsia="仿宋"/>
                <w:sz w:val="28"/>
                <w:szCs w:val="28"/>
              </w:rPr>
            </w:pPr>
          </w:p>
        </w:tc>
        <w:tc>
          <w:tcPr>
            <w:tcW w:w="832" w:type="dxa"/>
            <w:vMerge w:val="continue"/>
            <w:vAlign w:val="center"/>
          </w:tcPr>
          <w:p>
            <w:pPr>
              <w:spacing w:line="300" w:lineRule="exact"/>
              <w:jc w:val="center"/>
              <w:outlineLvl w:val="0"/>
              <w:rPr>
                <w:rFonts w:ascii="仿宋" w:hAnsi="仿宋" w:eastAsia="仿宋"/>
                <w:sz w:val="28"/>
                <w:szCs w:val="28"/>
              </w:rPr>
            </w:pPr>
          </w:p>
        </w:tc>
        <w:tc>
          <w:tcPr>
            <w:tcW w:w="1476" w:type="dxa"/>
            <w:vMerge w:val="continue"/>
            <w:vAlign w:val="center"/>
          </w:tcPr>
          <w:p>
            <w:pPr>
              <w:spacing w:line="300" w:lineRule="exact"/>
              <w:jc w:val="center"/>
              <w:outlineLvl w:val="0"/>
              <w:rPr>
                <w:rFonts w:ascii="仿宋" w:hAnsi="仿宋" w:eastAsia="仿宋"/>
                <w:sz w:val="28"/>
                <w:szCs w:val="28"/>
              </w:rPr>
            </w:pPr>
          </w:p>
        </w:tc>
        <w:tc>
          <w:tcPr>
            <w:tcW w:w="3060" w:type="dxa"/>
            <w:vMerge w:val="continue"/>
            <w:vAlign w:val="center"/>
          </w:tcPr>
          <w:p>
            <w:pPr>
              <w:spacing w:line="300" w:lineRule="exact"/>
              <w:jc w:val="center"/>
              <w:outlineLvl w:val="0"/>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5437" w:type="dxa"/>
            <w:vAlign w:val="center"/>
          </w:tcPr>
          <w:p>
            <w:pPr>
              <w:jc w:val="center"/>
              <w:rPr>
                <w:rFonts w:ascii="仿宋" w:hAnsi="仿宋" w:eastAsia="仿宋"/>
                <w:sz w:val="28"/>
                <w:szCs w:val="28"/>
              </w:rPr>
            </w:pPr>
            <w:r>
              <w:rPr>
                <w:rFonts w:hint="eastAsia" w:ascii="仿宋_GB2312" w:eastAsia="仿宋_GB2312"/>
                <w:b w:val="0"/>
                <w:bCs w:val="0"/>
                <w:color w:val="000000"/>
                <w:sz w:val="32"/>
                <w:szCs w:val="32"/>
                <w:lang w:eastAsia="zh-CN"/>
              </w:rPr>
              <w:t>中共</w:t>
            </w:r>
            <w:r>
              <w:rPr>
                <w:rFonts w:hint="eastAsia" w:ascii="仿宋_GB2312" w:eastAsia="仿宋_GB2312"/>
                <w:b w:val="0"/>
                <w:bCs w:val="0"/>
                <w:color w:val="000000"/>
                <w:sz w:val="32"/>
                <w:szCs w:val="32"/>
              </w:rPr>
              <w:t>高邑县</w:t>
            </w:r>
            <w:r>
              <w:rPr>
                <w:rFonts w:hint="eastAsia" w:ascii="仿宋_GB2312" w:eastAsia="仿宋_GB2312"/>
                <w:b w:val="0"/>
                <w:bCs w:val="0"/>
                <w:color w:val="000000"/>
                <w:sz w:val="32"/>
                <w:szCs w:val="32"/>
                <w:lang w:eastAsia="zh-CN"/>
              </w:rPr>
              <w:t>委</w:t>
            </w:r>
            <w:r>
              <w:rPr>
                <w:rFonts w:hint="eastAsia" w:ascii="仿宋_GB2312" w:eastAsia="仿宋_GB2312"/>
                <w:b w:val="0"/>
                <w:bCs w:val="0"/>
                <w:color w:val="000000"/>
                <w:sz w:val="32"/>
                <w:szCs w:val="32"/>
              </w:rPr>
              <w:t>机构编制委员会办公室</w:t>
            </w:r>
          </w:p>
        </w:tc>
        <w:tc>
          <w:tcPr>
            <w:tcW w:w="832" w:type="dxa"/>
            <w:vAlign w:val="center"/>
          </w:tcPr>
          <w:p>
            <w:pPr>
              <w:jc w:val="center"/>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行政</w:t>
            </w:r>
          </w:p>
        </w:tc>
        <w:tc>
          <w:tcPr>
            <w:tcW w:w="1476" w:type="dxa"/>
            <w:vAlign w:val="center"/>
          </w:tcPr>
          <w:p>
            <w:pPr>
              <w:jc w:val="center"/>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正科级</w:t>
            </w:r>
          </w:p>
        </w:tc>
        <w:tc>
          <w:tcPr>
            <w:tcW w:w="3060" w:type="dxa"/>
            <w:vAlign w:val="center"/>
          </w:tcPr>
          <w:p>
            <w:pPr>
              <w:jc w:val="center"/>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财政拨款</w:t>
            </w:r>
          </w:p>
        </w:tc>
      </w:tr>
    </w:tbl>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 w:hAnsi="仿宋" w:eastAsia="仿宋"/>
          <w:sz w:val="32"/>
          <w:szCs w:val="32"/>
        </w:rPr>
      </w:pPr>
      <w:r>
        <w:rPr>
          <w:rFonts w:hint="eastAsia" w:ascii="仿宋" w:hAnsi="仿宋" w:eastAsia="仿宋"/>
          <w:sz w:val="32"/>
          <w:szCs w:val="32"/>
        </w:rPr>
        <w:t>按照预算管理有关规定，目前我省部门预算的编制实行综合预算制度，即全部收入和支出都反映在预算中。</w:t>
      </w:r>
    </w:p>
    <w:p>
      <w:pPr>
        <w:ind w:firstLine="640"/>
        <w:rPr>
          <w:rFonts w:ascii="仿宋" w:hAnsi="仿宋" w:eastAsia="仿宋"/>
          <w:sz w:val="32"/>
          <w:szCs w:val="32"/>
        </w:rPr>
      </w:pPr>
      <w:r>
        <w:rPr>
          <w:rFonts w:hint="eastAsia" w:ascii="仿宋" w:hAnsi="仿宋" w:eastAsia="仿宋"/>
          <w:sz w:val="32"/>
          <w:szCs w:val="32"/>
        </w:rPr>
        <w:t>1.收入说明</w:t>
      </w:r>
    </w:p>
    <w:p>
      <w:pPr>
        <w:ind w:firstLine="640"/>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年预算收入114.38万元。其中，一般公共预算拨款收入114.38万元、基金预算拨款收入</w:t>
      </w:r>
      <w:r>
        <w:rPr>
          <w:rFonts w:hint="eastAsia" w:ascii="仿宋" w:hAnsi="仿宋" w:eastAsia="仿宋"/>
          <w:sz w:val="32"/>
          <w:szCs w:val="32"/>
          <w:lang w:val="en-US" w:eastAsia="zh-CN"/>
        </w:rPr>
        <w:t>0</w:t>
      </w:r>
      <w:r>
        <w:rPr>
          <w:rFonts w:hint="eastAsia" w:ascii="仿宋" w:hAnsi="仿宋" w:eastAsia="仿宋"/>
          <w:sz w:val="32"/>
          <w:szCs w:val="32"/>
        </w:rPr>
        <w:t>万元、国有资本经营预算拨款收入</w:t>
      </w:r>
      <w:r>
        <w:rPr>
          <w:rFonts w:hint="eastAsia" w:ascii="仿宋" w:hAnsi="仿宋" w:eastAsia="仿宋"/>
          <w:sz w:val="32"/>
          <w:szCs w:val="32"/>
          <w:lang w:val="en-US" w:eastAsia="zh-CN"/>
        </w:rPr>
        <w:t>0</w:t>
      </w:r>
      <w:r>
        <w:rPr>
          <w:rFonts w:hint="eastAsia" w:ascii="仿宋" w:hAnsi="仿宋" w:eastAsia="仿宋"/>
          <w:sz w:val="32"/>
          <w:szCs w:val="32"/>
        </w:rPr>
        <w:t>万元、财政专户核拨收入</w:t>
      </w:r>
      <w:r>
        <w:rPr>
          <w:rFonts w:hint="eastAsia" w:ascii="仿宋" w:hAnsi="仿宋" w:eastAsia="仿宋"/>
          <w:sz w:val="32"/>
          <w:szCs w:val="32"/>
          <w:lang w:val="en-US" w:eastAsia="zh-CN"/>
        </w:rPr>
        <w:t>0</w:t>
      </w:r>
      <w:r>
        <w:rPr>
          <w:rFonts w:hint="eastAsia" w:ascii="仿宋" w:hAnsi="仿宋" w:eastAsia="仿宋"/>
          <w:sz w:val="32"/>
          <w:szCs w:val="32"/>
        </w:rPr>
        <w:t>万元，其他来源收入</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640"/>
        <w:rPr>
          <w:rFonts w:ascii="仿宋" w:hAnsi="仿宋" w:eastAsia="仿宋"/>
          <w:sz w:val="32"/>
          <w:szCs w:val="32"/>
        </w:rPr>
      </w:pPr>
      <w:r>
        <w:rPr>
          <w:rFonts w:hint="eastAsia" w:ascii="仿宋" w:hAnsi="仿宋" w:eastAsia="仿宋"/>
          <w:sz w:val="32"/>
          <w:szCs w:val="32"/>
        </w:rPr>
        <w:t>2.支出说明</w:t>
      </w:r>
    </w:p>
    <w:p>
      <w:pPr>
        <w:ind w:firstLine="560"/>
        <w:rPr>
          <w:rFonts w:hint="eastAsia"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收支预算总表支出栏、基本支出表、项目支出表按经济分类和支出功能分类科目编制，反映年度部门预算中支出预算的总体情况。</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年支出预算114.38万元。其中，基本支出</w:t>
      </w:r>
      <w:r>
        <w:rPr>
          <w:rFonts w:hint="eastAsia" w:ascii="仿宋" w:hAnsi="仿宋" w:eastAsia="仿宋"/>
          <w:sz w:val="32"/>
          <w:szCs w:val="32"/>
          <w:lang w:val="en-US" w:eastAsia="zh-CN"/>
        </w:rPr>
        <w:t>108.02</w:t>
      </w:r>
      <w:r>
        <w:rPr>
          <w:rFonts w:hint="eastAsia" w:ascii="仿宋" w:hAnsi="仿宋" w:eastAsia="仿宋"/>
          <w:sz w:val="32"/>
          <w:szCs w:val="32"/>
        </w:rPr>
        <w:t>万元，包括人员经费和日常公用经费；项目支出</w:t>
      </w:r>
      <w:r>
        <w:rPr>
          <w:rFonts w:hint="eastAsia" w:ascii="仿宋" w:hAnsi="仿宋" w:eastAsia="仿宋"/>
          <w:sz w:val="32"/>
          <w:szCs w:val="32"/>
          <w:lang w:val="en-US" w:eastAsia="zh-CN"/>
        </w:rPr>
        <w:t>6.36</w:t>
      </w:r>
      <w:r>
        <w:rPr>
          <w:rFonts w:hint="eastAsia" w:ascii="仿宋" w:hAnsi="仿宋" w:eastAsia="仿宋"/>
          <w:sz w:val="32"/>
          <w:szCs w:val="32"/>
        </w:rPr>
        <w:t>万元，主要为本级支出，主要为</w:t>
      </w:r>
      <w:r>
        <w:rPr>
          <w:rFonts w:hint="eastAsia" w:ascii="仿宋" w:hAnsi="仿宋" w:eastAsia="仿宋"/>
          <w:sz w:val="32"/>
          <w:szCs w:val="32"/>
          <w:lang w:eastAsia="zh-CN"/>
        </w:rPr>
        <w:t>实名制网络平台运行及维护费和域名注册费</w:t>
      </w:r>
      <w:r>
        <w:rPr>
          <w:rFonts w:hint="eastAsia" w:ascii="仿宋" w:hAnsi="仿宋" w:eastAsia="仿宋"/>
          <w:sz w:val="32"/>
          <w:szCs w:val="32"/>
          <w:lang w:val="en-US" w:eastAsia="zh-CN"/>
        </w:rPr>
        <w:t>支出</w:t>
      </w:r>
      <w:r>
        <w:rPr>
          <w:rFonts w:hint="eastAsia" w:ascii="仿宋" w:hAnsi="仿宋" w:eastAsia="仿宋"/>
          <w:sz w:val="32"/>
          <w:szCs w:val="32"/>
        </w:rPr>
        <w:t>等；其他支出</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800" w:firstLineChars="250"/>
        <w:rPr>
          <w:rFonts w:ascii="仿宋" w:hAnsi="仿宋" w:eastAsia="仿宋"/>
          <w:sz w:val="32"/>
          <w:szCs w:val="32"/>
        </w:rPr>
      </w:pPr>
      <w:r>
        <w:rPr>
          <w:rFonts w:hint="eastAsia" w:ascii="仿宋" w:hAnsi="仿宋" w:eastAsia="仿宋"/>
          <w:sz w:val="32"/>
          <w:szCs w:val="32"/>
        </w:rPr>
        <w:t>3.比上年增减情况</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年预算收支安排114.38万元，较</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年预算增加</w:t>
      </w:r>
      <w:r>
        <w:rPr>
          <w:rFonts w:hint="eastAsia" w:ascii="仿宋" w:hAnsi="仿宋" w:eastAsia="仿宋"/>
          <w:sz w:val="32"/>
          <w:szCs w:val="32"/>
          <w:lang w:val="en-US" w:eastAsia="zh-CN"/>
        </w:rPr>
        <w:t>40.2</w:t>
      </w:r>
      <w:r>
        <w:rPr>
          <w:rFonts w:hint="eastAsia" w:ascii="仿宋" w:hAnsi="仿宋" w:eastAsia="仿宋"/>
          <w:sz w:val="32"/>
          <w:szCs w:val="32"/>
        </w:rPr>
        <w:t>万元，增长</w:t>
      </w:r>
      <w:r>
        <w:rPr>
          <w:rFonts w:hint="eastAsia" w:ascii="仿宋" w:hAnsi="仿宋" w:eastAsia="仿宋"/>
          <w:sz w:val="32"/>
          <w:szCs w:val="32"/>
          <w:lang w:val="en-US" w:eastAsia="zh-CN"/>
        </w:rPr>
        <w:t>54</w:t>
      </w:r>
      <w:r>
        <w:rPr>
          <w:rFonts w:ascii="仿宋" w:hAnsi="仿宋" w:eastAsia="仿宋"/>
          <w:sz w:val="32"/>
          <w:szCs w:val="32"/>
        </w:rPr>
        <w:t>%</w:t>
      </w:r>
      <w:r>
        <w:rPr>
          <w:rFonts w:hint="eastAsia" w:ascii="仿宋" w:hAnsi="仿宋" w:eastAsia="仿宋"/>
          <w:sz w:val="32"/>
          <w:szCs w:val="32"/>
        </w:rPr>
        <w:t>。其中：基本支出增加</w:t>
      </w:r>
      <w:r>
        <w:rPr>
          <w:rFonts w:hint="eastAsia" w:ascii="仿宋" w:hAnsi="仿宋" w:eastAsia="仿宋"/>
          <w:sz w:val="32"/>
          <w:szCs w:val="32"/>
          <w:lang w:val="en-US" w:eastAsia="zh-CN"/>
        </w:rPr>
        <w:t>40.2</w:t>
      </w:r>
      <w:r>
        <w:rPr>
          <w:rFonts w:hint="eastAsia" w:ascii="仿宋" w:hAnsi="仿宋" w:eastAsia="仿宋"/>
          <w:sz w:val="32"/>
          <w:szCs w:val="32"/>
        </w:rPr>
        <w:t>万元，增长</w:t>
      </w:r>
      <w:r>
        <w:rPr>
          <w:rFonts w:hint="eastAsia" w:ascii="仿宋" w:hAnsi="仿宋" w:eastAsia="仿宋"/>
          <w:sz w:val="32"/>
          <w:szCs w:val="32"/>
          <w:lang w:val="en-US" w:eastAsia="zh-CN"/>
        </w:rPr>
        <w:t>54</w:t>
      </w:r>
      <w:r>
        <w:rPr>
          <w:rFonts w:ascii="仿宋" w:hAnsi="仿宋" w:eastAsia="仿宋"/>
          <w:sz w:val="32"/>
          <w:szCs w:val="32"/>
        </w:rPr>
        <w:t>%</w:t>
      </w:r>
      <w:r>
        <w:rPr>
          <w:rFonts w:hint="eastAsia" w:ascii="仿宋" w:hAnsi="仿宋" w:eastAsia="仿宋"/>
          <w:sz w:val="32"/>
          <w:szCs w:val="32"/>
        </w:rPr>
        <w:t>，主要为增加</w:t>
      </w:r>
      <w:r>
        <w:rPr>
          <w:rFonts w:hint="eastAsia" w:ascii="仿宋" w:hAnsi="仿宋" w:eastAsia="仿宋"/>
          <w:sz w:val="32"/>
          <w:szCs w:val="32"/>
          <w:lang w:val="en-US" w:eastAsia="zh-CN"/>
        </w:rPr>
        <w:t>人员工资</w:t>
      </w:r>
      <w:r>
        <w:rPr>
          <w:rFonts w:hint="eastAsia" w:ascii="仿宋" w:hAnsi="仿宋" w:eastAsia="仿宋"/>
          <w:sz w:val="32"/>
          <w:szCs w:val="32"/>
        </w:rPr>
        <w:t>支出</w:t>
      </w:r>
      <w:r>
        <w:rPr>
          <w:rFonts w:hint="eastAsia" w:ascii="仿宋" w:hAnsi="仿宋" w:eastAsia="仿宋"/>
          <w:sz w:val="32"/>
          <w:szCs w:val="32"/>
          <w:lang w:eastAsia="zh-CN"/>
        </w:rPr>
        <w:t>以及县财政统一将医保、养老、职业年金、公积金、取暖费等纳入单位预算</w:t>
      </w:r>
      <w:r>
        <w:rPr>
          <w:rFonts w:hint="eastAsia" w:ascii="仿宋" w:hAnsi="仿宋" w:eastAsia="仿宋"/>
          <w:sz w:val="32"/>
          <w:szCs w:val="32"/>
        </w:rPr>
        <w:t>；项目支出增加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，主要为</w:t>
      </w:r>
      <w:r>
        <w:rPr>
          <w:rFonts w:hint="eastAsia" w:ascii="仿宋" w:hAnsi="仿宋" w:eastAsia="仿宋"/>
          <w:sz w:val="32"/>
          <w:szCs w:val="32"/>
          <w:lang w:val="en-US" w:eastAsia="zh-CN"/>
        </w:rPr>
        <w:t>无</w:t>
      </w:r>
      <w:r>
        <w:rPr>
          <w:rFonts w:hint="eastAsia" w:ascii="仿宋" w:hAnsi="仿宋" w:eastAsia="仿宋"/>
          <w:sz w:val="32"/>
          <w:szCs w:val="32"/>
        </w:rPr>
        <w:t>项目支出的增加；其他支出增加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主要为</w:t>
      </w:r>
      <w:r>
        <w:rPr>
          <w:rFonts w:hint="eastAsia" w:ascii="仿宋" w:hAnsi="仿宋" w:eastAsia="仿宋"/>
          <w:sz w:val="32"/>
          <w:szCs w:val="32"/>
          <w:lang w:eastAsia="zh-CN"/>
        </w:rPr>
        <w:t>无</w:t>
      </w:r>
      <w:r>
        <w:rPr>
          <w:rFonts w:hint="eastAsia" w:ascii="仿宋" w:hAnsi="仿宋" w:eastAsia="仿宋"/>
          <w:sz w:val="32"/>
          <w:szCs w:val="32"/>
          <w:lang w:val="en-US" w:eastAsia="zh-CN"/>
        </w:rPr>
        <w:t>接待费</w:t>
      </w:r>
      <w:r>
        <w:rPr>
          <w:rFonts w:hint="eastAsia" w:ascii="仿宋" w:hAnsi="仿宋" w:eastAsia="仿宋"/>
          <w:sz w:val="32"/>
          <w:szCs w:val="32"/>
        </w:rPr>
        <w:t>等支出的增加。</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hint="eastAsia" w:ascii="仿宋" w:hAnsi="仿宋" w:eastAsia="仿宋"/>
          <w:sz w:val="32"/>
          <w:szCs w:val="32"/>
          <w:lang w:val="en-US" w:eastAsia="zh-CN"/>
        </w:rPr>
        <w:t>10.02</w:t>
      </w:r>
      <w:r>
        <w:rPr>
          <w:rFonts w:hint="eastAsia" w:ascii="仿宋" w:hAnsi="仿宋" w:eastAsia="仿宋"/>
          <w:sz w:val="32"/>
          <w:szCs w:val="32"/>
        </w:rPr>
        <w:t>万元，为日常公用经费总体安排情况，包括办公费、印刷费、邮电费、差旅费、维修（护）费、会议费、培训费、公务接待费、劳务费、公务用车运行维护费、其他交通费用、办公设备购置费及其他费用等日常运行支出。</w:t>
      </w:r>
    </w:p>
    <w:p>
      <w:pPr>
        <w:numPr>
          <w:ilvl w:val="0"/>
          <w:numId w:val="1"/>
        </w:numPr>
        <w:autoSpaceDE w:val="0"/>
        <w:autoSpaceDN w:val="0"/>
        <w:adjustRightInd w:val="0"/>
        <w:ind w:left="198" w:firstLine="640" w:firstLineChars="200"/>
        <w:jc w:val="left"/>
        <w:rPr>
          <w:rFonts w:hint="eastAsia" w:ascii="黑体" w:hAnsi="黑体" w:eastAsia="黑体"/>
          <w:sz w:val="32"/>
          <w:szCs w:val="32"/>
        </w:rPr>
      </w:pPr>
      <w:r>
        <w:rPr>
          <w:rFonts w:hint="eastAsia" w:ascii="黑体" w:hAnsi="黑体" w:eastAsia="黑体"/>
          <w:sz w:val="32"/>
          <w:szCs w:val="32"/>
        </w:rPr>
        <w:t>财政拨款“三公”经费预算情况及增减变化原因</w:t>
      </w:r>
    </w:p>
    <w:p>
      <w:pPr>
        <w:numPr>
          <w:ilvl w:val="0"/>
          <w:numId w:val="0"/>
        </w:numPr>
        <w:autoSpaceDE w:val="0"/>
        <w:autoSpaceDN w:val="0"/>
        <w:adjustRightInd w:val="0"/>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年，我</w:t>
      </w:r>
      <w:r>
        <w:rPr>
          <w:rFonts w:hint="eastAsia" w:ascii="仿宋" w:hAnsi="仿宋" w:eastAsia="仿宋"/>
          <w:sz w:val="32"/>
          <w:szCs w:val="32"/>
          <w:lang w:eastAsia="zh-CN"/>
        </w:rPr>
        <w:t>办</w:t>
      </w:r>
      <w:r>
        <w:rPr>
          <w:rFonts w:ascii="仿宋" w:hAnsi="仿宋" w:eastAsia="仿宋"/>
          <w:sz w:val="32"/>
          <w:szCs w:val="32"/>
        </w:rPr>
        <w:t xml:space="preserve"> “</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经费预算安排</w:t>
      </w:r>
      <w:r>
        <w:rPr>
          <w:rFonts w:hint="eastAsia" w:ascii="仿宋" w:hAnsi="仿宋" w:eastAsia="仿宋"/>
          <w:sz w:val="32"/>
          <w:szCs w:val="32"/>
          <w:lang w:val="en-US" w:eastAsia="zh-CN"/>
        </w:rPr>
        <w:t>0.04</w:t>
      </w:r>
      <w:r>
        <w:rPr>
          <w:rFonts w:hint="eastAsia" w:ascii="仿宋" w:hAnsi="仿宋" w:eastAsia="仿宋"/>
          <w:sz w:val="32"/>
          <w:szCs w:val="32"/>
        </w:rPr>
        <w:t>万元，与上年</w:t>
      </w:r>
      <w:r>
        <w:rPr>
          <w:rFonts w:hint="eastAsia" w:ascii="仿宋" w:hAnsi="仿宋" w:eastAsia="仿宋"/>
          <w:sz w:val="32"/>
          <w:szCs w:val="32"/>
          <w:lang w:eastAsia="zh-CN"/>
        </w:rPr>
        <w:t>持平</w:t>
      </w:r>
      <w:r>
        <w:rPr>
          <w:rFonts w:hint="eastAsia" w:ascii="仿宋" w:hAnsi="仿宋" w:eastAsia="仿宋"/>
          <w:sz w:val="32"/>
          <w:szCs w:val="32"/>
        </w:rPr>
        <w:t>。其中，因公出国（境）费0万元，与上年持平；公务用车购置及运维费</w:t>
      </w:r>
      <w:r>
        <w:rPr>
          <w:rFonts w:hint="eastAsia" w:ascii="仿宋" w:hAnsi="仿宋" w:eastAsia="仿宋"/>
          <w:sz w:val="32"/>
          <w:szCs w:val="32"/>
          <w:lang w:val="en-US" w:eastAsia="zh-CN"/>
        </w:rPr>
        <w:t>0</w:t>
      </w:r>
      <w:r>
        <w:rPr>
          <w:rFonts w:hint="eastAsia" w:ascii="仿宋" w:hAnsi="仿宋" w:eastAsia="仿宋"/>
          <w:sz w:val="32"/>
          <w:szCs w:val="32"/>
        </w:rPr>
        <w:t>万元(其中公务用车购置费</w:t>
      </w:r>
      <w:r>
        <w:rPr>
          <w:rFonts w:hint="eastAsia" w:ascii="仿宋" w:hAnsi="仿宋" w:eastAsia="仿宋"/>
          <w:sz w:val="32"/>
          <w:szCs w:val="32"/>
          <w:lang w:val="en-US" w:eastAsia="zh-CN"/>
        </w:rPr>
        <w:t>0</w:t>
      </w:r>
      <w:r>
        <w:rPr>
          <w:rFonts w:hint="eastAsia" w:ascii="仿宋" w:hAnsi="仿宋" w:eastAsia="仿宋"/>
          <w:sz w:val="32"/>
          <w:szCs w:val="32"/>
        </w:rPr>
        <w:t>万元，公务用车运行维护费</w:t>
      </w:r>
      <w:r>
        <w:rPr>
          <w:rFonts w:hint="eastAsia" w:ascii="仿宋" w:hAnsi="仿宋" w:eastAsia="仿宋"/>
          <w:sz w:val="32"/>
          <w:szCs w:val="32"/>
          <w:lang w:val="en-US" w:eastAsia="zh-CN"/>
        </w:rPr>
        <w:t>0</w:t>
      </w:r>
      <w:r>
        <w:rPr>
          <w:rFonts w:hint="eastAsia" w:ascii="仿宋" w:hAnsi="仿宋" w:eastAsia="仿宋"/>
          <w:sz w:val="32"/>
          <w:szCs w:val="32"/>
        </w:rPr>
        <w:t>万元），与上年</w:t>
      </w:r>
      <w:r>
        <w:rPr>
          <w:rFonts w:hint="eastAsia" w:ascii="仿宋" w:hAnsi="仿宋" w:eastAsia="仿宋"/>
          <w:sz w:val="32"/>
          <w:szCs w:val="32"/>
          <w:lang w:eastAsia="zh-CN"/>
        </w:rPr>
        <w:t>持平</w:t>
      </w:r>
      <w:r>
        <w:rPr>
          <w:rFonts w:hint="eastAsia" w:ascii="仿宋" w:hAnsi="仿宋" w:eastAsia="仿宋"/>
          <w:sz w:val="32"/>
          <w:szCs w:val="32"/>
        </w:rPr>
        <w:t>；公务接待费</w:t>
      </w:r>
      <w:r>
        <w:rPr>
          <w:rFonts w:hint="eastAsia" w:ascii="仿宋" w:hAnsi="仿宋" w:eastAsia="仿宋"/>
          <w:sz w:val="32"/>
          <w:szCs w:val="32"/>
          <w:lang w:val="en-US" w:eastAsia="zh-CN"/>
        </w:rPr>
        <w:t>0</w:t>
      </w:r>
      <w:r>
        <w:rPr>
          <w:rFonts w:hint="eastAsia" w:ascii="仿宋" w:hAnsi="仿宋" w:eastAsia="仿宋"/>
          <w:sz w:val="32"/>
          <w:szCs w:val="32"/>
        </w:rPr>
        <w:t>万元，与上年持平。</w:t>
      </w:r>
    </w:p>
    <w:p>
      <w:pPr>
        <w:autoSpaceDE w:val="0"/>
        <w:autoSpaceDN w:val="0"/>
        <w:adjustRightInd w:val="0"/>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五、绩效预算信息</w:t>
      </w:r>
    </w:p>
    <w:p>
      <w:pPr>
        <w:autoSpaceDE w:val="0"/>
        <w:autoSpaceDN w:val="0"/>
        <w:adjustRightInd w:val="0"/>
        <w:ind w:left="198" w:firstLine="643" w:firstLineChars="200"/>
        <w:jc w:val="left"/>
        <w:rPr>
          <w:rFonts w:hint="eastAsia" w:ascii="仿宋" w:hAnsi="仿宋" w:eastAsia="仿宋"/>
          <w:b/>
          <w:bCs/>
          <w:sz w:val="32"/>
          <w:szCs w:val="32"/>
        </w:rPr>
      </w:pPr>
      <w:r>
        <w:rPr>
          <w:rFonts w:hint="eastAsia" w:ascii="仿宋" w:hAnsi="仿宋" w:eastAsia="仿宋"/>
          <w:b/>
          <w:bCs/>
          <w:sz w:val="32"/>
          <w:szCs w:val="32"/>
        </w:rPr>
        <w:t>总体绩效目标：</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全县机构编制工作要全面贯彻党的</w:t>
      </w:r>
      <w:r>
        <w:rPr>
          <w:rFonts w:hint="eastAsia" w:ascii="仿宋" w:hAnsi="仿宋" w:eastAsia="仿宋"/>
          <w:sz w:val="32"/>
          <w:szCs w:val="32"/>
          <w:lang w:eastAsia="zh-CN"/>
        </w:rPr>
        <w:t>十九大</w:t>
      </w:r>
      <w:r>
        <w:rPr>
          <w:rFonts w:hint="eastAsia" w:ascii="仿宋" w:hAnsi="仿宋" w:eastAsia="仿宋"/>
          <w:sz w:val="32"/>
          <w:szCs w:val="32"/>
        </w:rPr>
        <w:t>全会和习近平总书记系列重要讲话精神，认真贯彻落实</w:t>
      </w:r>
      <w:r>
        <w:rPr>
          <w:rFonts w:hint="eastAsia" w:ascii="仿宋" w:hAnsi="仿宋" w:eastAsia="仿宋"/>
          <w:sz w:val="32"/>
          <w:szCs w:val="32"/>
          <w:lang w:eastAsia="zh-CN"/>
        </w:rPr>
        <w:t>中央</w:t>
      </w:r>
      <w:r>
        <w:rPr>
          <w:rFonts w:hint="eastAsia" w:ascii="仿宋" w:hAnsi="仿宋" w:eastAsia="仿宋"/>
          <w:sz w:val="32"/>
          <w:szCs w:val="32"/>
        </w:rPr>
        <w:t>省市机构编制工作会议精神，紧紧围绕县委、县政府决策部署，主动适应和服务经济发展新常态，不断深化行政体制改革，为促进我县经济社会发展提供体制机制保障。</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一）贯彻执行上级有关行政管理体制、机构改革以及机构编制管理的法律、法规、方针、政策，研究拟定实施意见并组织实施。管理和指导全县各党政机关，人大、政协、法院、检察院机关，人民团体机关的机构编制工作；管理和指导全县事业单位机构编制工作。</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（二）研究拟定全县行政管理体制和机构改革总体方案；审核县级党政群机关和乡（镇）机构改革方案，指导、协调乡镇行政管理体制和机构改革以及机构编制管理工作。</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（三）协调县委、县政府各部门的职能配置及其调整；协调县委各部门之间、县政府各部门之间、县委各部门与县政府各部门之间以及县直各部门与乡镇之间的职责分工。</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（四）审核县委、县政府各部门职能配置、内设机构、人员编制和领导职数；审核全县各类机关人员编制总额。</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（五）研究拟定全县事业单位管理体制和机构改革方案以及相配套的实施意见；审核县委、县政府各直属事业单位、部门管理的事业单位以及乡镇事业单位的机构编制方案。</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（六）按照《国务院事业单位登记管理暂行条例》的有关规定，履行全县各级各类事业单位登记的行政管理职能，指导全县事业单位法人登记管理工作。</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七）指导和协调行政审批制度改革工作；研究提出取消和保留的行政审批项目；协调落实上级取消下放的行政审批事项；负责行政审批制度改革的监督检查和综合考核评价；承担行政审批制度改革领导小组的日常工作。</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（八）负责机构编制日常管理，监督检查全县行政管理体制改革、机构改革以及机构编制方案的执行情况。</w:t>
      </w:r>
    </w:p>
    <w:p>
      <w:pPr>
        <w:autoSpaceDE w:val="0"/>
        <w:autoSpaceDN w:val="0"/>
        <w:adjustRightInd w:val="0"/>
        <w:ind w:left="198" w:firstLine="640" w:firstLineChars="200"/>
        <w:jc w:val="left"/>
        <w:rPr>
          <w:rFonts w:hint="eastAsia" w:ascii="仿宋" w:hAnsi="仿宋" w:eastAsia="仿宋"/>
          <w:sz w:val="32"/>
          <w:szCs w:val="32"/>
        </w:rPr>
      </w:pPr>
      <w:r>
        <w:rPr>
          <w:rFonts w:hint="eastAsia" w:ascii="仿宋" w:hAnsi="仿宋" w:eastAsia="仿宋"/>
          <w:sz w:val="32"/>
          <w:szCs w:val="32"/>
        </w:rPr>
        <w:t>（九）承办县委、县政府和县机构编制委员会交办的其它工作。</w:t>
      </w:r>
    </w:p>
    <w:p>
      <w:pPr>
        <w:spacing w:line="500" w:lineRule="exact"/>
        <w:ind w:firstLine="643" w:firstLineChars="200"/>
        <w:jc w:val="left"/>
        <w:rPr>
          <w:rFonts w:ascii="仿宋" w:hAnsi="仿宋" w:eastAsia="仿宋"/>
          <w:b/>
          <w:sz w:val="28"/>
        </w:rPr>
      </w:pPr>
      <w:r>
        <w:rPr>
          <w:rFonts w:hint="eastAsia" w:ascii="仿宋" w:hAnsi="仿宋" w:eastAsia="仿宋"/>
          <w:b/>
          <w:sz w:val="32"/>
          <w:szCs w:val="32"/>
        </w:rPr>
        <w:t>职责分类绩效目标：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一、行政管理体制改革</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1.促进政府职能转变和机构改革工作。拟定县级政府机构改革方案；审核制定县政府涉及改革部门“三定”规定。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2.事业单位分类改革。做好事业单位分类工作；做好各部门所属事业单位分类改革工作；规范事业单位台账管理。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二、机构编制管理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1.审核审查县委、县政府各部门的职能配置及调整等机关编制事宜，按政策提出意见。</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2.坚决落实财政供养人员只减不增要求。严格落实中央、省、市关于严格控制机构编制和财政供养人员只减不增要求，严格控制编制总量。</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3.创新机构编制动态管理。按照“控制总量，盘活存量，优化结构，有增有减”和“定好、管住、搞活”的原则，创新管理。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4.进一步严格实名制管理和编制使用核准制度。严格落实机构编制实名制管理各项规定，规范机构编制实名制数据库，严肃编制使用核准政策，严格编制使用核准程序。</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5.加强机构编制监督检查。对全县各级各部门机构编制执行情况进行跟踪督查，做好电话、网络、信访等“三位一体”举报受理工作，提高受理工作质量。</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6.事业单位法人登记管理。完善事业单位登记管理工作。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7.机构编制信息化管理。负责全县机构编制信息管理系统、电子政务和机构编制网站的建设和管理，全县机构编制统计、数据分析工作。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三、编办政务管理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1.综合事务管理。做好综合事务管理工作，保障机构编制工作正常运转。</w:t>
      </w:r>
    </w:p>
    <w:p>
      <w:pPr>
        <w:spacing w:line="500" w:lineRule="exact"/>
        <w:ind w:firstLine="643" w:firstLineChars="200"/>
        <w:jc w:val="left"/>
        <w:rPr>
          <w:rFonts w:hint="eastAsia" w:ascii="楷体" w:hAnsi="楷体" w:eastAsia="楷体"/>
          <w:b/>
          <w:sz w:val="32"/>
          <w:szCs w:val="32"/>
        </w:rPr>
      </w:pPr>
    </w:p>
    <w:p>
      <w:pPr>
        <w:spacing w:line="500" w:lineRule="exact"/>
        <w:ind w:firstLine="643" w:firstLineChars="200"/>
        <w:jc w:val="left"/>
        <w:rPr>
          <w:rFonts w:hint="eastAsia" w:ascii="楷体" w:hAnsi="楷体" w:eastAsia="楷体"/>
          <w:b/>
          <w:sz w:val="32"/>
          <w:szCs w:val="32"/>
        </w:rPr>
      </w:pPr>
      <w:r>
        <w:rPr>
          <w:rFonts w:hint="eastAsia" w:ascii="楷体" w:hAnsi="楷体" w:eastAsia="楷体"/>
          <w:b/>
          <w:sz w:val="32"/>
          <w:szCs w:val="32"/>
        </w:rPr>
        <w:t>部门职责及工作活动绩效目标指标：</w:t>
      </w:r>
    </w:p>
    <w:p>
      <w:pPr>
        <w:spacing w:line="500" w:lineRule="exact"/>
        <w:ind w:firstLine="723" w:firstLineChars="200"/>
        <w:jc w:val="center"/>
        <w:rPr>
          <w:rFonts w:hint="eastAsia" w:ascii="楷体" w:hAnsi="楷体" w:eastAsia="楷体"/>
          <w:b/>
          <w:sz w:val="32"/>
          <w:szCs w:val="32"/>
        </w:rPr>
      </w:pPr>
      <w:bookmarkStart w:id="0" w:name="_Toc482282909"/>
      <w:r>
        <w:rPr>
          <w:rFonts w:hint="eastAsia" w:ascii="宋体" w:hAnsi="宋体"/>
          <w:b/>
          <w:sz w:val="36"/>
          <w:szCs w:val="36"/>
        </w:rPr>
        <w:t>部门职责-工作活动绩效目标</w:t>
      </w:r>
      <w:bookmarkEnd w:id="0"/>
    </w:p>
    <w:tbl>
      <w:tblPr>
        <w:tblStyle w:val="2"/>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1"/>
                <w:szCs w:val="21"/>
              </w:rPr>
            </w:pPr>
            <w:r>
              <w:rPr>
                <w:rFonts w:ascii="方正小标宋_GBK" w:eastAsia="方正小标宋_GBK"/>
                <w:sz w:val="21"/>
                <w:szCs w:val="21"/>
              </w:rPr>
              <w:t>225高邑县编办</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职责活动</w:t>
            </w:r>
          </w:p>
        </w:tc>
        <w:tc>
          <w:tcPr>
            <w:tcW w:w="1276" w:type="dxa"/>
            <w:vMerge w:val="restart"/>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年度预算数</w:t>
            </w:r>
          </w:p>
        </w:tc>
        <w:tc>
          <w:tcPr>
            <w:tcW w:w="2976" w:type="dxa"/>
            <w:vMerge w:val="restart"/>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内容描述</w:t>
            </w:r>
          </w:p>
        </w:tc>
        <w:tc>
          <w:tcPr>
            <w:tcW w:w="2976" w:type="dxa"/>
            <w:vMerge w:val="restart"/>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绩效目标</w:t>
            </w:r>
          </w:p>
        </w:tc>
        <w:tc>
          <w:tcPr>
            <w:tcW w:w="1417" w:type="dxa"/>
            <w:vMerge w:val="restart"/>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绩效指标</w:t>
            </w:r>
          </w:p>
        </w:tc>
        <w:tc>
          <w:tcPr>
            <w:tcW w:w="2948" w:type="dxa"/>
            <w:gridSpan w:val="4"/>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sz w:val="21"/>
                <w:szCs w:val="21"/>
              </w:rPr>
            </w:pPr>
          </w:p>
        </w:tc>
        <w:tc>
          <w:tcPr>
            <w:tcW w:w="1276" w:type="dxa"/>
            <w:vMerge w:val="continue"/>
            <w:vAlign w:val="center"/>
          </w:tcPr>
          <w:p>
            <w:pPr>
              <w:spacing w:line="300" w:lineRule="exact"/>
              <w:jc w:val="left"/>
              <w:outlineLvl w:val="0"/>
              <w:rPr>
                <w:sz w:val="21"/>
                <w:szCs w:val="21"/>
              </w:rPr>
            </w:pPr>
          </w:p>
        </w:tc>
        <w:tc>
          <w:tcPr>
            <w:tcW w:w="2976" w:type="dxa"/>
            <w:vMerge w:val="continue"/>
            <w:vAlign w:val="center"/>
          </w:tcPr>
          <w:p>
            <w:pPr>
              <w:spacing w:line="300" w:lineRule="exact"/>
              <w:jc w:val="left"/>
              <w:outlineLvl w:val="0"/>
              <w:rPr>
                <w:sz w:val="21"/>
                <w:szCs w:val="21"/>
              </w:rPr>
            </w:pPr>
          </w:p>
        </w:tc>
        <w:tc>
          <w:tcPr>
            <w:tcW w:w="2976" w:type="dxa"/>
            <w:vMerge w:val="continue"/>
            <w:vAlign w:val="center"/>
          </w:tcPr>
          <w:p>
            <w:pPr>
              <w:spacing w:line="300" w:lineRule="exact"/>
              <w:jc w:val="left"/>
              <w:outlineLvl w:val="0"/>
              <w:rPr>
                <w:sz w:val="21"/>
                <w:szCs w:val="21"/>
              </w:rPr>
            </w:pPr>
          </w:p>
        </w:tc>
        <w:tc>
          <w:tcPr>
            <w:tcW w:w="1417" w:type="dxa"/>
            <w:vMerge w:val="continue"/>
            <w:vAlign w:val="center"/>
          </w:tcPr>
          <w:p>
            <w:pPr>
              <w:spacing w:line="300" w:lineRule="exact"/>
              <w:jc w:val="left"/>
              <w:outlineLvl w:val="0"/>
              <w:rPr>
                <w:sz w:val="21"/>
                <w:szCs w:val="21"/>
              </w:rPr>
            </w:pPr>
          </w:p>
        </w:tc>
        <w:tc>
          <w:tcPr>
            <w:tcW w:w="737"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优</w:t>
            </w:r>
          </w:p>
        </w:tc>
        <w:tc>
          <w:tcPr>
            <w:tcW w:w="737"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良</w:t>
            </w:r>
          </w:p>
        </w:tc>
        <w:tc>
          <w:tcPr>
            <w:tcW w:w="737"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中</w:t>
            </w:r>
          </w:p>
        </w:tc>
        <w:tc>
          <w:tcPr>
            <w:tcW w:w="737"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一、行政管理体制改革</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p>
        </w:tc>
        <w:tc>
          <w:tcPr>
            <w:tcW w:w="1417" w:type="dxa"/>
            <w:vAlign w:val="center"/>
          </w:tcPr>
          <w:p>
            <w:pPr>
              <w:spacing w:line="300" w:lineRule="exact"/>
              <w:jc w:val="left"/>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　　1、行政单位管理体制和机构改革</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推进县政府机构改革,党群政法部门体制改革,乡镇行政体制改革,功能园区管理体制机制改革。</w:t>
            </w:r>
          </w:p>
        </w:tc>
        <w:tc>
          <w:tcPr>
            <w:tcW w:w="141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行政改革目标完成率</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≥90%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≥80%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　　2、事业单位管理体制和机构改革</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做好事业单位分类工作；做好各部门所属事业单位分类改革工作；规范事业单位台账管理。</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扎实推进事业单位分类改革,扎实推进事业单位法人治理结构试点工作。</w:t>
            </w:r>
          </w:p>
        </w:tc>
        <w:tc>
          <w:tcPr>
            <w:tcW w:w="141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事业改革目标完成率</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≥90%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≥80%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二、机构编制管理</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审核或审批县委、县政府，人大、政协、法院、检察院机关，人民团体机关的机构编制管理事宜；负责全县事业单位法人登记管理和监督检查工作。</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审核或审批县委、县政府、人大、政协、法院、检察院机关，人民团体机关的机构编制管理事宜；负责全县事业单位法人登记管理和监督检查工作。</w:t>
            </w:r>
          </w:p>
        </w:tc>
        <w:tc>
          <w:tcPr>
            <w:tcW w:w="1417" w:type="dxa"/>
            <w:vAlign w:val="center"/>
          </w:tcPr>
          <w:p>
            <w:pPr>
              <w:spacing w:line="300" w:lineRule="exact"/>
              <w:jc w:val="left"/>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　　1、机构编制监管</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开展机构编制实名制及人员编制使用情况核准，机构编制执行情况跟踪评估和监督检查工作；指导全县党政群机关、事业单位和其他非营利性单位网上名称管理工作。</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全面推行实名制管理和编制使用核准。</w:t>
            </w:r>
          </w:p>
        </w:tc>
        <w:tc>
          <w:tcPr>
            <w:tcW w:w="141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实名制管理推行率</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≥90%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≥80%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　　2、机构编制标准化管理</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完成全县201</w:t>
            </w:r>
            <w:r>
              <w:rPr>
                <w:rFonts w:hint="eastAsia" w:ascii="方正书宋_GBK" w:eastAsia="方正书宋_GBK"/>
                <w:sz w:val="21"/>
                <w:szCs w:val="21"/>
                <w:lang w:val="en-US" w:eastAsia="zh-CN"/>
              </w:rPr>
              <w:t>9</w:t>
            </w:r>
            <w:r>
              <w:rPr>
                <w:rFonts w:ascii="方正书宋_GBK" w:eastAsia="方正书宋_GBK"/>
                <w:sz w:val="21"/>
                <w:szCs w:val="21"/>
              </w:rPr>
              <w:t>年度机构编制统计上报工作。</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加强机构编制标准化管理，确保完成全县201</w:t>
            </w:r>
            <w:r>
              <w:rPr>
                <w:rFonts w:hint="eastAsia" w:ascii="方正书宋_GBK" w:eastAsia="方正书宋_GBK"/>
                <w:sz w:val="21"/>
                <w:szCs w:val="21"/>
                <w:lang w:val="en-US" w:eastAsia="zh-CN"/>
              </w:rPr>
              <w:t>9</w:t>
            </w:r>
            <w:r>
              <w:rPr>
                <w:rFonts w:ascii="方正书宋_GBK" w:eastAsia="方正书宋_GBK"/>
                <w:sz w:val="21"/>
                <w:szCs w:val="21"/>
              </w:rPr>
              <w:t>年度机构编制统计上报工作。</w:t>
            </w:r>
          </w:p>
        </w:tc>
        <w:tc>
          <w:tcPr>
            <w:tcW w:w="141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统计上报工作完成率</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≥90%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≥80%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　　3、事业单位法人登记管理</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负责全县事业单位法人登记管理和监督检查工作。</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加强完善事业单位登记管理工作。</w:t>
            </w:r>
          </w:p>
        </w:tc>
        <w:tc>
          <w:tcPr>
            <w:tcW w:w="141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事业单位登记管理率</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≥90%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≥80%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三、促进政府职能转变</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vAlign w:val="center"/>
          </w:tcPr>
          <w:p>
            <w:pPr>
              <w:spacing w:line="300" w:lineRule="exact"/>
              <w:jc w:val="left"/>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　　1、行政审批改革</w:t>
            </w:r>
          </w:p>
        </w:tc>
        <w:tc>
          <w:tcPr>
            <w:tcW w:w="1276" w:type="dxa"/>
            <w:vAlign w:val="center"/>
          </w:tcPr>
          <w:p>
            <w:pPr>
              <w:spacing w:line="300" w:lineRule="exact"/>
              <w:jc w:val="left"/>
              <w:rPr>
                <w:rFonts w:ascii="方正书宋_GBK" w:eastAsia="方正书宋_GBK"/>
                <w:sz w:val="21"/>
                <w:szCs w:val="21"/>
              </w:rPr>
            </w:pP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全面清理县内行政审批项目。进一步优化行政审批流程。加强审改工作制度化、规范化和标准化建设。</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进一步优化行政审批流程,加强审改工作制度化、规范化和标准化建设。</w:t>
            </w:r>
          </w:p>
        </w:tc>
        <w:tc>
          <w:tcPr>
            <w:tcW w:w="141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行政审批项目清理工作的完成率</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≥90%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≥80%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sz w:val="21"/>
                <w:szCs w:val="21"/>
              </w:rPr>
            </w:pPr>
            <w:r>
              <w:rPr>
                <w:rFonts w:ascii="方正书宋_GBK" w:eastAsia="方正书宋_GBK"/>
                <w:b/>
                <w:sz w:val="21"/>
                <w:szCs w:val="21"/>
              </w:rPr>
              <w:t>四、编办事务管理</w:t>
            </w:r>
          </w:p>
        </w:tc>
        <w:tc>
          <w:tcPr>
            <w:tcW w:w="12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6.36</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做好机关人员管理及保障工作，为充分发挥职能作用提供有效保障。</w:t>
            </w:r>
          </w:p>
        </w:tc>
        <w:tc>
          <w:tcPr>
            <w:tcW w:w="2976"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pPr>
              <w:spacing w:line="300" w:lineRule="exact"/>
              <w:jc w:val="left"/>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c>
          <w:tcPr>
            <w:tcW w:w="737" w:type="dxa"/>
            <w:vAlign w:val="center"/>
          </w:tcPr>
          <w:p>
            <w:pPr>
              <w:spacing w:line="300" w:lineRule="exact"/>
              <w:jc w:val="center"/>
              <w:rPr>
                <w:rFonts w:ascii="方正书宋_GBK" w:eastAsia="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sz w:val="21"/>
                <w:szCs w:val="21"/>
              </w:rPr>
            </w:pPr>
            <w:r>
              <w:rPr>
                <w:rFonts w:ascii="方正书宋_GBK" w:eastAsia="方正书宋_GBK"/>
                <w:b/>
                <w:sz w:val="21"/>
                <w:szCs w:val="21"/>
              </w:rPr>
              <w:t>　　1、综合事务管理</w:t>
            </w:r>
          </w:p>
        </w:tc>
        <w:tc>
          <w:tcPr>
            <w:tcW w:w="1276" w:type="dxa"/>
            <w:vMerge w:val="restart"/>
            <w:vAlign w:val="center"/>
          </w:tcPr>
          <w:p>
            <w:pPr>
              <w:spacing w:line="300" w:lineRule="exact"/>
              <w:jc w:val="left"/>
              <w:rPr>
                <w:rFonts w:ascii="方正书宋_GBK" w:eastAsia="方正书宋_GBK"/>
                <w:sz w:val="21"/>
                <w:szCs w:val="21"/>
              </w:rPr>
            </w:pPr>
            <w:r>
              <w:rPr>
                <w:rFonts w:ascii="方正书宋_GBK" w:eastAsia="方正书宋_GBK"/>
                <w:sz w:val="21"/>
                <w:szCs w:val="21"/>
              </w:rPr>
              <w:t>6.36</w:t>
            </w:r>
          </w:p>
        </w:tc>
        <w:tc>
          <w:tcPr>
            <w:tcW w:w="2976" w:type="dxa"/>
            <w:vMerge w:val="restart"/>
            <w:vAlign w:val="center"/>
          </w:tcPr>
          <w:p>
            <w:pPr>
              <w:spacing w:line="300" w:lineRule="exact"/>
              <w:jc w:val="left"/>
              <w:rPr>
                <w:rFonts w:ascii="方正书宋_GBK" w:eastAsia="方正书宋_GBK"/>
                <w:sz w:val="21"/>
                <w:szCs w:val="21"/>
              </w:rPr>
            </w:pPr>
            <w:r>
              <w:rPr>
                <w:rFonts w:ascii="方正书宋_GBK" w:eastAsia="方正书宋_GBK"/>
                <w:sz w:val="21"/>
                <w:szCs w:val="21"/>
              </w:rPr>
              <w:t>负责全县机构编制信息管理系统、电子政务的建设和管理，全县机构编制统计、数据分析工作；负责机关人事、劳资、行政后勤、财务和资产管理工作。</w:t>
            </w:r>
          </w:p>
        </w:tc>
        <w:tc>
          <w:tcPr>
            <w:tcW w:w="2976" w:type="dxa"/>
            <w:vMerge w:val="restart"/>
            <w:vAlign w:val="center"/>
          </w:tcPr>
          <w:p>
            <w:pPr>
              <w:spacing w:line="300" w:lineRule="exact"/>
              <w:jc w:val="left"/>
              <w:rPr>
                <w:rFonts w:ascii="方正书宋_GBK" w:eastAsia="方正书宋_GBK"/>
                <w:sz w:val="21"/>
                <w:szCs w:val="21"/>
              </w:rPr>
            </w:pPr>
            <w:r>
              <w:rPr>
                <w:rFonts w:ascii="方正书宋_GBK" w:eastAsia="方正书宋_GBK"/>
                <w:sz w:val="21"/>
                <w:szCs w:val="21"/>
              </w:rPr>
              <w:t>机构编制信息平台运行。</w:t>
            </w:r>
          </w:p>
        </w:tc>
        <w:tc>
          <w:tcPr>
            <w:tcW w:w="141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各项综合事务工作完成情况</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≥90%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≥80%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sz w:val="21"/>
                <w:szCs w:val="21"/>
              </w:rPr>
            </w:pPr>
          </w:p>
        </w:tc>
        <w:tc>
          <w:tcPr>
            <w:tcW w:w="1276" w:type="dxa"/>
            <w:vMerge w:val="continue"/>
            <w:vAlign w:val="center"/>
          </w:tcPr>
          <w:p>
            <w:pPr>
              <w:spacing w:line="300" w:lineRule="exact"/>
              <w:jc w:val="left"/>
              <w:rPr>
                <w:rFonts w:ascii="方正书宋_GBK" w:eastAsia="方正书宋_GBK"/>
                <w:sz w:val="21"/>
                <w:szCs w:val="21"/>
              </w:rPr>
            </w:pPr>
          </w:p>
        </w:tc>
        <w:tc>
          <w:tcPr>
            <w:tcW w:w="2976" w:type="dxa"/>
            <w:vMerge w:val="continue"/>
            <w:vAlign w:val="center"/>
          </w:tcPr>
          <w:p>
            <w:pPr>
              <w:spacing w:line="300" w:lineRule="exact"/>
              <w:jc w:val="left"/>
              <w:rPr>
                <w:rFonts w:ascii="方正书宋_GBK" w:eastAsia="方正书宋_GBK"/>
                <w:sz w:val="21"/>
                <w:szCs w:val="21"/>
              </w:rPr>
            </w:pPr>
          </w:p>
        </w:tc>
        <w:tc>
          <w:tcPr>
            <w:tcW w:w="2976" w:type="dxa"/>
            <w:vMerge w:val="continue"/>
            <w:vAlign w:val="center"/>
          </w:tcPr>
          <w:p>
            <w:pPr>
              <w:spacing w:line="300" w:lineRule="exact"/>
              <w:jc w:val="left"/>
              <w:rPr>
                <w:rFonts w:ascii="方正书宋_GBK" w:eastAsia="方正书宋_GBK"/>
                <w:sz w:val="21"/>
                <w:szCs w:val="21"/>
              </w:rPr>
            </w:pPr>
          </w:p>
        </w:tc>
        <w:tc>
          <w:tcPr>
            <w:tcW w:w="1417"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机构编制信息平台运行</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≥100%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≥90%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≥80%</w:t>
            </w:r>
          </w:p>
        </w:tc>
        <w:tc>
          <w:tcPr>
            <w:tcW w:w="737" w:type="dxa"/>
            <w:vAlign w:val="center"/>
          </w:tcPr>
          <w:p>
            <w:pPr>
              <w:spacing w:line="300" w:lineRule="exact"/>
              <w:jc w:val="center"/>
              <w:rPr>
                <w:rFonts w:ascii="方正书宋_GBK" w:eastAsia="方正书宋_GBK"/>
                <w:sz w:val="21"/>
                <w:szCs w:val="21"/>
              </w:rPr>
            </w:pPr>
            <w:r>
              <w:rPr>
                <w:rFonts w:ascii="方正书宋_GBK" w:eastAsia="方正书宋_GBK"/>
                <w:sz w:val="21"/>
                <w:szCs w:val="21"/>
              </w:rPr>
              <w:t>&lt;80%</w:t>
            </w:r>
          </w:p>
        </w:tc>
      </w:tr>
    </w:tbl>
    <w:p>
      <w:pPr>
        <w:autoSpaceDE w:val="0"/>
        <w:autoSpaceDN w:val="0"/>
        <w:adjustRightInd w:val="0"/>
        <w:ind w:firstLine="640" w:firstLineChars="200"/>
        <w:jc w:val="left"/>
        <w:rPr>
          <w:rFonts w:hint="eastAsia"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560"/>
        <w:rPr>
          <w:rFonts w:hint="eastAsia" w:ascii="仿宋" w:hAnsi="仿宋" w:eastAsia="仿宋"/>
          <w:sz w:val="32"/>
          <w:szCs w:val="32"/>
        </w:rPr>
      </w:pPr>
      <w:bookmarkStart w:id="1" w:name="_Toc471398468"/>
      <w:r>
        <w:rPr>
          <w:rFonts w:hint="eastAsia" w:ascii="仿宋" w:hAnsi="仿宋" w:eastAsia="仿宋"/>
          <w:sz w:val="32"/>
          <w:szCs w:val="32"/>
        </w:rPr>
        <w:t>根据省市县财政部门政府采购有关要求，做到应采尽采。201</w:t>
      </w:r>
      <w:r>
        <w:rPr>
          <w:rFonts w:hint="eastAsia" w:ascii="仿宋" w:hAnsi="仿宋" w:eastAsia="仿宋"/>
          <w:sz w:val="32"/>
          <w:szCs w:val="32"/>
          <w:lang w:val="en-US" w:eastAsia="zh-CN"/>
        </w:rPr>
        <w:t>9</w:t>
      </w:r>
      <w:r>
        <w:rPr>
          <w:rFonts w:hint="eastAsia" w:ascii="仿宋" w:hAnsi="仿宋" w:eastAsia="仿宋"/>
          <w:sz w:val="32"/>
          <w:szCs w:val="32"/>
        </w:rPr>
        <w:t>年本部门无政府采购项目，无政府采购相关计划。</w:t>
      </w:r>
    </w:p>
    <w:bookmarkEnd w:id="1"/>
    <w:p>
      <w:pPr>
        <w:jc w:val="center"/>
        <w:outlineLvl w:val="0"/>
        <w:rPr>
          <w:rFonts w:hint="eastAsia" w:ascii="宋体" w:hAnsi="宋体"/>
          <w:sz w:val="32"/>
        </w:rPr>
      </w:pPr>
    </w:p>
    <w:p>
      <w:pPr>
        <w:jc w:val="center"/>
        <w:outlineLvl w:val="0"/>
        <w:rPr>
          <w:rFonts w:hint="eastAsia" w:ascii="宋体" w:hAnsi="宋体"/>
          <w:sz w:val="32"/>
        </w:rPr>
      </w:pPr>
      <w:r>
        <w:rPr>
          <w:rFonts w:hint="eastAsia" w:ascii="宋体" w:hAnsi="宋体"/>
          <w:sz w:val="32"/>
        </w:rPr>
        <w:t>部门政府采购预算</w:t>
      </w:r>
    </w:p>
    <w:p>
      <w:pPr>
        <w:jc w:val="center"/>
        <w:outlineLvl w:val="0"/>
        <w:rPr>
          <w:rFonts w:ascii="宋体" w:hAnsi="宋体"/>
          <w:sz w:val="10"/>
          <w:szCs w:val="10"/>
        </w:rPr>
      </w:pPr>
    </w:p>
    <w:tbl>
      <w:tblPr>
        <w:tblStyle w:val="2"/>
        <w:tblW w:w="146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0"/>
        <w:gridCol w:w="1107"/>
        <w:gridCol w:w="920"/>
        <w:gridCol w:w="1006"/>
        <w:gridCol w:w="921"/>
        <w:gridCol w:w="921"/>
        <w:gridCol w:w="941"/>
        <w:gridCol w:w="921"/>
        <w:gridCol w:w="921"/>
        <w:gridCol w:w="921"/>
        <w:gridCol w:w="921"/>
        <w:gridCol w:w="921"/>
        <w:gridCol w:w="921"/>
        <w:gridCol w:w="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266"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宋体" w:hAnsi="宋体" w:eastAsiaTheme="minorEastAsia"/>
                <w:sz w:val="24"/>
                <w:lang w:val="en-US" w:eastAsia="zh-CN"/>
              </w:rPr>
            </w:pPr>
            <w:r>
              <w:rPr>
                <w:rFonts w:hint="eastAsia" w:ascii="宋体" w:hAnsi="宋体"/>
                <w:sz w:val="24"/>
                <w:lang w:val="en-US" w:eastAsia="zh-CN"/>
              </w:rPr>
              <w:t>高邑县编办</w:t>
            </w:r>
          </w:p>
        </w:tc>
        <w:tc>
          <w:tcPr>
            <w:tcW w:w="6394" w:type="dxa"/>
            <w:gridSpan w:val="7"/>
            <w:tcBorders>
              <w:top w:val="single" w:color="FFFFFF" w:sz="6" w:space="0"/>
              <w:left w:val="single" w:color="FFFFFF" w:sz="6" w:space="0"/>
              <w:right w:val="single" w:color="FFFFFF" w:sz="6" w:space="0"/>
            </w:tcBorders>
            <w:vAlign w:val="center"/>
          </w:tcPr>
          <w:p>
            <w:pPr>
              <w:spacing w:line="300" w:lineRule="exact"/>
              <w:jc w:val="right"/>
              <w:rPr>
                <w:rFonts w:ascii="宋体" w:hAnsi="宋体"/>
                <w:sz w:val="24"/>
              </w:rPr>
            </w:pPr>
            <w:r>
              <w:rPr>
                <w:rFonts w:hint="eastAsia" w:ascii="宋体" w:hAnsi="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3" w:hRule="atLeast"/>
          <w:tblHeader/>
          <w:jc w:val="center"/>
        </w:trPr>
        <w:tc>
          <w:tcPr>
            <w:tcW w:w="3557" w:type="dxa"/>
            <w:gridSpan w:val="2"/>
            <w:vAlign w:val="center"/>
          </w:tcPr>
          <w:p>
            <w:pPr>
              <w:spacing w:line="300" w:lineRule="exact"/>
              <w:jc w:val="center"/>
              <w:rPr>
                <w:rFonts w:ascii="宋体" w:hAnsi="宋体"/>
                <w:b/>
              </w:rPr>
            </w:pPr>
            <w:r>
              <w:rPr>
                <w:rFonts w:hint="eastAsia" w:ascii="宋体" w:hAnsi="宋体"/>
                <w:b/>
              </w:rPr>
              <w:t>政府采购项目来源</w:t>
            </w:r>
          </w:p>
        </w:tc>
        <w:tc>
          <w:tcPr>
            <w:tcW w:w="920" w:type="dxa"/>
            <w:vMerge w:val="restart"/>
            <w:vAlign w:val="center"/>
          </w:tcPr>
          <w:p>
            <w:pPr>
              <w:spacing w:line="300" w:lineRule="exact"/>
              <w:jc w:val="center"/>
              <w:rPr>
                <w:rFonts w:ascii="宋体" w:hAnsi="宋体"/>
                <w:b/>
              </w:rPr>
            </w:pPr>
            <w:r>
              <w:rPr>
                <w:rFonts w:hint="eastAsia" w:ascii="宋体" w:hAnsi="宋体"/>
                <w:b/>
              </w:rPr>
              <w:t>采购物品名称</w:t>
            </w:r>
          </w:p>
        </w:tc>
        <w:tc>
          <w:tcPr>
            <w:tcW w:w="1006" w:type="dxa"/>
            <w:vMerge w:val="restart"/>
            <w:vAlign w:val="center"/>
          </w:tcPr>
          <w:p>
            <w:pPr>
              <w:spacing w:line="300" w:lineRule="exact"/>
              <w:jc w:val="center"/>
              <w:rPr>
                <w:rFonts w:ascii="宋体" w:hAnsi="宋体"/>
                <w:b/>
              </w:rPr>
            </w:pPr>
            <w:r>
              <w:rPr>
                <w:rFonts w:hint="eastAsia" w:ascii="宋体" w:hAnsi="宋体"/>
                <w:b/>
              </w:rPr>
              <w:t>政府采购目录序号</w:t>
            </w:r>
          </w:p>
        </w:tc>
        <w:tc>
          <w:tcPr>
            <w:tcW w:w="921" w:type="dxa"/>
            <w:vMerge w:val="restart"/>
            <w:vAlign w:val="center"/>
          </w:tcPr>
          <w:p>
            <w:pPr>
              <w:spacing w:line="300" w:lineRule="exact"/>
              <w:jc w:val="center"/>
              <w:rPr>
                <w:rFonts w:ascii="宋体" w:hAnsi="宋体"/>
                <w:b/>
              </w:rPr>
            </w:pPr>
            <w:r>
              <w:rPr>
                <w:rFonts w:hint="eastAsia" w:ascii="宋体" w:hAnsi="宋体"/>
                <w:b/>
              </w:rPr>
              <w:t>数量</w:t>
            </w:r>
            <w:r>
              <w:rPr>
                <w:rFonts w:ascii="宋体" w:hAnsi="宋体"/>
                <w:b/>
              </w:rPr>
              <w:t xml:space="preserve">  </w:t>
            </w:r>
            <w:r>
              <w:rPr>
                <w:rFonts w:hint="eastAsia" w:ascii="宋体" w:hAnsi="宋体"/>
                <w:b/>
              </w:rPr>
              <w:t>单位</w:t>
            </w:r>
          </w:p>
        </w:tc>
        <w:tc>
          <w:tcPr>
            <w:tcW w:w="921" w:type="dxa"/>
            <w:vMerge w:val="restart"/>
            <w:vAlign w:val="center"/>
          </w:tcPr>
          <w:p>
            <w:pPr>
              <w:spacing w:line="300" w:lineRule="exact"/>
              <w:jc w:val="center"/>
              <w:rPr>
                <w:rFonts w:ascii="宋体" w:hAnsi="宋体"/>
                <w:b/>
              </w:rPr>
            </w:pPr>
            <w:r>
              <w:rPr>
                <w:rFonts w:hint="eastAsia" w:ascii="宋体" w:hAnsi="宋体"/>
                <w:b/>
              </w:rPr>
              <w:t>数量</w:t>
            </w:r>
          </w:p>
        </w:tc>
        <w:tc>
          <w:tcPr>
            <w:tcW w:w="941" w:type="dxa"/>
            <w:vMerge w:val="restart"/>
            <w:vAlign w:val="center"/>
          </w:tcPr>
          <w:p>
            <w:pPr>
              <w:spacing w:line="300" w:lineRule="exact"/>
              <w:jc w:val="center"/>
              <w:rPr>
                <w:rFonts w:ascii="宋体" w:hAnsi="宋体"/>
                <w:b/>
              </w:rPr>
            </w:pPr>
            <w:r>
              <w:rPr>
                <w:rFonts w:hint="eastAsia" w:ascii="宋体" w:hAnsi="宋体"/>
                <w:b/>
              </w:rPr>
              <w:t>单价</w:t>
            </w:r>
          </w:p>
        </w:tc>
        <w:tc>
          <w:tcPr>
            <w:tcW w:w="6394" w:type="dxa"/>
            <w:gridSpan w:val="7"/>
            <w:vAlign w:val="center"/>
          </w:tcPr>
          <w:p>
            <w:pPr>
              <w:spacing w:line="300" w:lineRule="exact"/>
              <w:jc w:val="center"/>
              <w:rPr>
                <w:rFonts w:ascii="宋体" w:hAnsi="宋体"/>
                <w:b/>
              </w:rPr>
            </w:pPr>
            <w:r>
              <w:rPr>
                <w:rFonts w:hint="eastAsia" w:ascii="宋体" w:hAnsi="宋体"/>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3" w:hRule="atLeast"/>
          <w:tblHeader/>
          <w:jc w:val="center"/>
        </w:trPr>
        <w:tc>
          <w:tcPr>
            <w:tcW w:w="2450" w:type="dxa"/>
            <w:vMerge w:val="restart"/>
            <w:vAlign w:val="center"/>
          </w:tcPr>
          <w:p>
            <w:pPr>
              <w:spacing w:line="300" w:lineRule="exact"/>
              <w:jc w:val="center"/>
              <w:rPr>
                <w:rFonts w:ascii="宋体" w:hAnsi="宋体"/>
                <w:b/>
              </w:rPr>
            </w:pPr>
            <w:r>
              <w:rPr>
                <w:rFonts w:hint="eastAsia" w:ascii="宋体" w:hAnsi="宋体"/>
                <w:b/>
              </w:rPr>
              <w:t>项目名称</w:t>
            </w:r>
          </w:p>
        </w:tc>
        <w:tc>
          <w:tcPr>
            <w:tcW w:w="1107" w:type="dxa"/>
            <w:vMerge w:val="restart"/>
            <w:vAlign w:val="center"/>
          </w:tcPr>
          <w:p>
            <w:pPr>
              <w:spacing w:line="300" w:lineRule="exact"/>
              <w:jc w:val="center"/>
              <w:rPr>
                <w:rFonts w:ascii="宋体" w:hAnsi="宋体"/>
                <w:b/>
              </w:rPr>
            </w:pPr>
            <w:r>
              <w:rPr>
                <w:rFonts w:hint="eastAsia" w:ascii="宋体" w:hAnsi="宋体"/>
                <w:b/>
              </w:rPr>
              <w:t>预算资金</w:t>
            </w:r>
          </w:p>
        </w:tc>
        <w:tc>
          <w:tcPr>
            <w:tcW w:w="920" w:type="dxa"/>
            <w:vMerge w:val="continue"/>
            <w:vAlign w:val="center"/>
          </w:tcPr>
          <w:p>
            <w:pPr>
              <w:spacing w:line="300" w:lineRule="exact"/>
              <w:jc w:val="left"/>
              <w:outlineLvl w:val="0"/>
              <w:rPr>
                <w:rFonts w:ascii="宋体" w:hAnsi="宋体"/>
              </w:rPr>
            </w:pPr>
          </w:p>
        </w:tc>
        <w:tc>
          <w:tcPr>
            <w:tcW w:w="1006"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41" w:type="dxa"/>
            <w:vMerge w:val="continue"/>
            <w:vAlign w:val="center"/>
          </w:tcPr>
          <w:p>
            <w:pPr>
              <w:spacing w:line="300" w:lineRule="exact"/>
              <w:jc w:val="left"/>
              <w:outlineLvl w:val="0"/>
              <w:rPr>
                <w:rFonts w:ascii="宋体" w:hAnsi="宋体"/>
              </w:rPr>
            </w:pPr>
          </w:p>
        </w:tc>
        <w:tc>
          <w:tcPr>
            <w:tcW w:w="921" w:type="dxa"/>
            <w:vMerge w:val="restart"/>
            <w:vAlign w:val="center"/>
          </w:tcPr>
          <w:p>
            <w:pPr>
              <w:spacing w:line="300" w:lineRule="exact"/>
              <w:jc w:val="center"/>
              <w:rPr>
                <w:rFonts w:ascii="宋体" w:hAnsi="宋体"/>
                <w:b/>
              </w:rPr>
            </w:pPr>
            <w:r>
              <w:rPr>
                <w:rFonts w:hint="eastAsia" w:ascii="宋体" w:hAnsi="宋体"/>
                <w:b/>
              </w:rPr>
              <w:t>总计</w:t>
            </w:r>
          </w:p>
        </w:tc>
        <w:tc>
          <w:tcPr>
            <w:tcW w:w="4605" w:type="dxa"/>
            <w:gridSpan w:val="5"/>
            <w:vAlign w:val="center"/>
          </w:tcPr>
          <w:p>
            <w:pPr>
              <w:spacing w:line="300" w:lineRule="exact"/>
              <w:jc w:val="center"/>
              <w:rPr>
                <w:rFonts w:ascii="宋体" w:hAnsi="宋体"/>
                <w:b/>
              </w:rPr>
            </w:pPr>
            <w:r>
              <w:rPr>
                <w:rFonts w:hint="eastAsia" w:ascii="宋体" w:hAnsi="宋体"/>
                <w:b/>
              </w:rPr>
              <w:t>当年部门预算安排资金</w:t>
            </w:r>
          </w:p>
        </w:tc>
        <w:tc>
          <w:tcPr>
            <w:tcW w:w="868" w:type="dxa"/>
            <w:vMerge w:val="restart"/>
            <w:vAlign w:val="center"/>
          </w:tcPr>
          <w:p>
            <w:pPr>
              <w:spacing w:line="300" w:lineRule="exact"/>
              <w:jc w:val="center"/>
              <w:rPr>
                <w:rFonts w:ascii="宋体" w:hAnsi="宋体"/>
                <w:b/>
              </w:rPr>
            </w:pPr>
            <w:r>
              <w:rPr>
                <w:rFonts w:hint="eastAsia" w:ascii="宋体" w:hAnsi="宋体"/>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450" w:type="dxa"/>
            <w:vMerge w:val="continue"/>
            <w:vAlign w:val="center"/>
          </w:tcPr>
          <w:p>
            <w:pPr>
              <w:spacing w:line="300" w:lineRule="exact"/>
              <w:jc w:val="left"/>
              <w:outlineLvl w:val="0"/>
              <w:rPr>
                <w:rFonts w:ascii="宋体" w:hAnsi="宋体"/>
              </w:rPr>
            </w:pPr>
          </w:p>
        </w:tc>
        <w:tc>
          <w:tcPr>
            <w:tcW w:w="1107" w:type="dxa"/>
            <w:vMerge w:val="continue"/>
            <w:vAlign w:val="center"/>
          </w:tcPr>
          <w:p>
            <w:pPr>
              <w:spacing w:line="300" w:lineRule="exact"/>
              <w:jc w:val="left"/>
              <w:outlineLvl w:val="0"/>
              <w:rPr>
                <w:rFonts w:ascii="宋体" w:hAnsi="宋体"/>
              </w:rPr>
            </w:pPr>
          </w:p>
        </w:tc>
        <w:tc>
          <w:tcPr>
            <w:tcW w:w="920" w:type="dxa"/>
            <w:vMerge w:val="continue"/>
            <w:vAlign w:val="center"/>
          </w:tcPr>
          <w:p>
            <w:pPr>
              <w:spacing w:line="300" w:lineRule="exact"/>
              <w:jc w:val="left"/>
              <w:outlineLvl w:val="0"/>
              <w:rPr>
                <w:rFonts w:ascii="宋体" w:hAnsi="宋体"/>
              </w:rPr>
            </w:pPr>
          </w:p>
        </w:tc>
        <w:tc>
          <w:tcPr>
            <w:tcW w:w="1006"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4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Align w:val="center"/>
          </w:tcPr>
          <w:p>
            <w:pPr>
              <w:spacing w:line="300" w:lineRule="exact"/>
              <w:jc w:val="center"/>
              <w:rPr>
                <w:rFonts w:ascii="宋体" w:hAnsi="宋体"/>
                <w:b/>
              </w:rPr>
            </w:pPr>
            <w:r>
              <w:rPr>
                <w:rFonts w:hint="eastAsia" w:ascii="宋体" w:hAnsi="宋体"/>
                <w:b/>
              </w:rPr>
              <w:t>合计</w:t>
            </w:r>
          </w:p>
        </w:tc>
        <w:tc>
          <w:tcPr>
            <w:tcW w:w="921" w:type="dxa"/>
            <w:vAlign w:val="center"/>
          </w:tcPr>
          <w:p>
            <w:pPr>
              <w:spacing w:line="300" w:lineRule="exact"/>
              <w:jc w:val="center"/>
              <w:rPr>
                <w:rFonts w:ascii="宋体" w:hAnsi="宋体"/>
                <w:b/>
              </w:rPr>
            </w:pPr>
            <w:r>
              <w:rPr>
                <w:rFonts w:hint="eastAsia" w:ascii="宋体" w:hAnsi="宋体"/>
                <w:b/>
              </w:rPr>
              <w:t>一般公共预算拨款</w:t>
            </w:r>
          </w:p>
        </w:tc>
        <w:tc>
          <w:tcPr>
            <w:tcW w:w="921" w:type="dxa"/>
            <w:vAlign w:val="center"/>
          </w:tcPr>
          <w:p>
            <w:pPr>
              <w:spacing w:line="300" w:lineRule="exact"/>
              <w:jc w:val="center"/>
              <w:rPr>
                <w:rFonts w:ascii="宋体" w:hAnsi="宋体"/>
                <w:b/>
              </w:rPr>
            </w:pPr>
            <w:r>
              <w:rPr>
                <w:rFonts w:hint="eastAsia" w:ascii="宋体" w:hAnsi="宋体"/>
                <w:b/>
              </w:rPr>
              <w:t>基金预算拨款</w:t>
            </w:r>
          </w:p>
        </w:tc>
        <w:tc>
          <w:tcPr>
            <w:tcW w:w="921" w:type="dxa"/>
            <w:vAlign w:val="center"/>
          </w:tcPr>
          <w:p>
            <w:pPr>
              <w:spacing w:line="300" w:lineRule="exact"/>
              <w:jc w:val="center"/>
              <w:rPr>
                <w:rFonts w:ascii="宋体" w:hAnsi="宋体"/>
                <w:b/>
              </w:rPr>
            </w:pPr>
            <w:r>
              <w:rPr>
                <w:rFonts w:hint="eastAsia" w:ascii="宋体" w:hAnsi="宋体"/>
                <w:b/>
              </w:rPr>
              <w:t>财政专户核拨</w:t>
            </w:r>
          </w:p>
        </w:tc>
        <w:tc>
          <w:tcPr>
            <w:tcW w:w="921" w:type="dxa"/>
            <w:vAlign w:val="center"/>
          </w:tcPr>
          <w:p>
            <w:pPr>
              <w:spacing w:line="300" w:lineRule="exact"/>
              <w:jc w:val="center"/>
              <w:rPr>
                <w:rFonts w:ascii="宋体" w:hAnsi="宋体"/>
                <w:b/>
              </w:rPr>
            </w:pPr>
            <w:r>
              <w:rPr>
                <w:rFonts w:hint="eastAsia" w:ascii="宋体" w:hAnsi="宋体"/>
                <w:b/>
              </w:rPr>
              <w:t>其他来源收入</w:t>
            </w:r>
          </w:p>
        </w:tc>
        <w:tc>
          <w:tcPr>
            <w:tcW w:w="868" w:type="dxa"/>
            <w:vMerge w:val="continue"/>
            <w:vAlign w:val="center"/>
          </w:tcPr>
          <w:p>
            <w:pPr>
              <w:spacing w:line="300" w:lineRule="exact"/>
              <w:jc w:val="lef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5" w:hRule="atLeast"/>
          <w:jc w:val="center"/>
        </w:trPr>
        <w:tc>
          <w:tcPr>
            <w:tcW w:w="2450" w:type="dxa"/>
            <w:vAlign w:val="center"/>
          </w:tcPr>
          <w:p>
            <w:pPr>
              <w:spacing w:line="300" w:lineRule="exact"/>
              <w:jc w:val="center"/>
              <w:rPr>
                <w:rFonts w:ascii="宋体" w:hAnsi="宋体"/>
                <w:b/>
              </w:rPr>
            </w:pPr>
            <w:r>
              <w:rPr>
                <w:rFonts w:hint="eastAsia" w:ascii="宋体" w:hAnsi="宋体"/>
                <w:b/>
              </w:rPr>
              <w:t>合　计</w:t>
            </w:r>
          </w:p>
        </w:tc>
        <w:tc>
          <w:tcPr>
            <w:tcW w:w="1107" w:type="dxa"/>
            <w:vAlign w:val="center"/>
          </w:tcPr>
          <w:p>
            <w:pPr>
              <w:spacing w:line="300" w:lineRule="exact"/>
              <w:jc w:val="right"/>
              <w:rPr>
                <w:rFonts w:hint="eastAsia" w:ascii="宋体" w:hAnsi="宋体"/>
                <w:b/>
              </w:rPr>
            </w:pPr>
            <w:r>
              <w:rPr>
                <w:rFonts w:hint="eastAsia" w:ascii="宋体" w:hAnsi="宋体"/>
                <w:b/>
              </w:rPr>
              <w:t>0</w:t>
            </w:r>
          </w:p>
        </w:tc>
        <w:tc>
          <w:tcPr>
            <w:tcW w:w="920" w:type="dxa"/>
            <w:vAlign w:val="center"/>
          </w:tcPr>
          <w:p>
            <w:pPr>
              <w:spacing w:line="300" w:lineRule="exact"/>
              <w:jc w:val="left"/>
              <w:rPr>
                <w:rFonts w:ascii="宋体" w:hAnsi="宋体"/>
                <w:b/>
              </w:rPr>
            </w:pPr>
          </w:p>
        </w:tc>
        <w:tc>
          <w:tcPr>
            <w:tcW w:w="1006" w:type="dxa"/>
            <w:vAlign w:val="center"/>
          </w:tcPr>
          <w:p>
            <w:pPr>
              <w:spacing w:line="300" w:lineRule="exact"/>
              <w:jc w:val="left"/>
              <w:rPr>
                <w:rFonts w:ascii="宋体" w:hAnsi="宋体"/>
                <w:b/>
              </w:rPr>
            </w:pPr>
          </w:p>
        </w:tc>
        <w:tc>
          <w:tcPr>
            <w:tcW w:w="921" w:type="dxa"/>
            <w:vAlign w:val="center"/>
          </w:tcPr>
          <w:p>
            <w:pPr>
              <w:spacing w:line="300" w:lineRule="exact"/>
              <w:jc w:val="left"/>
              <w:rPr>
                <w:rFonts w:ascii="宋体" w:hAnsi="宋体"/>
                <w:b/>
              </w:rPr>
            </w:pPr>
          </w:p>
        </w:tc>
        <w:tc>
          <w:tcPr>
            <w:tcW w:w="921" w:type="dxa"/>
            <w:vAlign w:val="center"/>
          </w:tcPr>
          <w:p>
            <w:pPr>
              <w:spacing w:line="300" w:lineRule="exact"/>
              <w:jc w:val="right"/>
              <w:rPr>
                <w:rFonts w:ascii="宋体" w:hAnsi="宋体"/>
                <w:b/>
              </w:rPr>
            </w:pPr>
          </w:p>
        </w:tc>
        <w:tc>
          <w:tcPr>
            <w:tcW w:w="941" w:type="dxa"/>
            <w:vAlign w:val="center"/>
          </w:tcPr>
          <w:p>
            <w:pPr>
              <w:spacing w:line="300" w:lineRule="exact"/>
              <w:jc w:val="right"/>
              <w:rPr>
                <w:rFonts w:ascii="宋体" w:hAnsi="宋体"/>
                <w:b/>
              </w:rPr>
            </w:pP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868" w:type="dxa"/>
            <w:vAlign w:val="center"/>
          </w:tcPr>
          <w:p>
            <w:pPr>
              <w:spacing w:line="300" w:lineRule="exact"/>
              <w:jc w:val="right"/>
              <w:rPr>
                <w:rFonts w:hint="eastAsia" w:ascii="宋体" w:hAnsi="宋体"/>
                <w:b/>
              </w:rPr>
            </w:pPr>
            <w:r>
              <w:rPr>
                <w:rFonts w:hint="eastAsia" w:ascii="宋体" w:hAnsi="宋体"/>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5" w:hRule="atLeast"/>
          <w:jc w:val="center"/>
        </w:trPr>
        <w:tc>
          <w:tcPr>
            <w:tcW w:w="2450" w:type="dxa"/>
            <w:vAlign w:val="center"/>
          </w:tcPr>
          <w:p>
            <w:pPr>
              <w:spacing w:line="300" w:lineRule="exact"/>
              <w:jc w:val="center"/>
              <w:rPr>
                <w:rFonts w:ascii="宋体" w:hAnsi="宋体"/>
                <w:b/>
              </w:rPr>
            </w:pPr>
            <w:r>
              <w:rPr>
                <w:rFonts w:hint="eastAsia" w:ascii="宋体" w:hAnsi="宋体"/>
                <w:b/>
              </w:rPr>
              <w:t>小计</w:t>
            </w:r>
          </w:p>
        </w:tc>
        <w:tc>
          <w:tcPr>
            <w:tcW w:w="1107" w:type="dxa"/>
            <w:vAlign w:val="center"/>
          </w:tcPr>
          <w:p>
            <w:pPr>
              <w:spacing w:line="300" w:lineRule="exact"/>
              <w:jc w:val="right"/>
              <w:rPr>
                <w:rFonts w:hint="eastAsia" w:ascii="宋体" w:hAnsi="宋体"/>
                <w:b/>
              </w:rPr>
            </w:pPr>
            <w:r>
              <w:rPr>
                <w:rFonts w:hint="eastAsia" w:ascii="宋体" w:hAnsi="宋体"/>
                <w:b/>
              </w:rPr>
              <w:t>0</w:t>
            </w:r>
          </w:p>
        </w:tc>
        <w:tc>
          <w:tcPr>
            <w:tcW w:w="920" w:type="dxa"/>
            <w:vAlign w:val="center"/>
          </w:tcPr>
          <w:p>
            <w:pPr>
              <w:spacing w:line="300" w:lineRule="exact"/>
              <w:jc w:val="left"/>
              <w:rPr>
                <w:rFonts w:ascii="宋体" w:hAnsi="宋体"/>
                <w:b/>
              </w:rPr>
            </w:pPr>
          </w:p>
        </w:tc>
        <w:tc>
          <w:tcPr>
            <w:tcW w:w="1006" w:type="dxa"/>
            <w:vAlign w:val="center"/>
          </w:tcPr>
          <w:p>
            <w:pPr>
              <w:spacing w:line="300" w:lineRule="exact"/>
              <w:jc w:val="left"/>
              <w:rPr>
                <w:rFonts w:ascii="宋体" w:hAnsi="宋体"/>
                <w:b/>
              </w:rPr>
            </w:pPr>
          </w:p>
        </w:tc>
        <w:tc>
          <w:tcPr>
            <w:tcW w:w="921" w:type="dxa"/>
            <w:vAlign w:val="center"/>
          </w:tcPr>
          <w:p>
            <w:pPr>
              <w:spacing w:line="300" w:lineRule="exact"/>
              <w:jc w:val="left"/>
              <w:rPr>
                <w:rFonts w:ascii="宋体" w:hAnsi="宋体"/>
                <w:b/>
              </w:rPr>
            </w:pPr>
          </w:p>
        </w:tc>
        <w:tc>
          <w:tcPr>
            <w:tcW w:w="921" w:type="dxa"/>
            <w:vAlign w:val="center"/>
          </w:tcPr>
          <w:p>
            <w:pPr>
              <w:spacing w:line="300" w:lineRule="exact"/>
              <w:jc w:val="right"/>
              <w:rPr>
                <w:rFonts w:ascii="宋体" w:hAnsi="宋体"/>
                <w:b/>
              </w:rPr>
            </w:pPr>
          </w:p>
        </w:tc>
        <w:tc>
          <w:tcPr>
            <w:tcW w:w="941" w:type="dxa"/>
            <w:vAlign w:val="center"/>
          </w:tcPr>
          <w:p>
            <w:pPr>
              <w:spacing w:line="300" w:lineRule="exact"/>
              <w:jc w:val="right"/>
              <w:rPr>
                <w:rFonts w:ascii="宋体" w:hAnsi="宋体"/>
                <w:b/>
              </w:rPr>
            </w:pP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868" w:type="dxa"/>
            <w:vAlign w:val="center"/>
          </w:tcPr>
          <w:p>
            <w:pPr>
              <w:spacing w:line="300" w:lineRule="exact"/>
              <w:jc w:val="right"/>
              <w:rPr>
                <w:rFonts w:hint="eastAsia" w:ascii="宋体" w:hAnsi="宋体"/>
                <w:b/>
              </w:rPr>
            </w:pPr>
            <w:r>
              <w:rPr>
                <w:rFonts w:hint="eastAsia" w:ascii="宋体" w:hAnsi="宋体"/>
                <w:b/>
              </w:rPr>
              <w:t>0</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ind w:firstLine="720" w:firstLineChars="225"/>
        <w:rPr>
          <w:rFonts w:hint="eastAsia" w:ascii="仿宋" w:hAnsi="仿宋" w:eastAsia="仿宋"/>
          <w:sz w:val="32"/>
          <w:szCs w:val="32"/>
          <w:lang w:val="en-US" w:eastAsia="zh-CN"/>
        </w:rPr>
      </w:pPr>
      <w:r>
        <w:rPr>
          <w:rFonts w:hint="eastAsia" w:ascii="仿宋" w:hAnsi="仿宋" w:eastAsia="仿宋"/>
          <w:sz w:val="32"/>
          <w:szCs w:val="32"/>
          <w:lang w:val="en-US" w:eastAsia="zh-CN"/>
        </w:rPr>
        <w:t>高邑县机构编制委员会办公室</w:t>
      </w:r>
      <w:r>
        <w:rPr>
          <w:rFonts w:hint="eastAsia" w:ascii="仿宋" w:hAnsi="仿宋" w:eastAsia="仿宋"/>
          <w:sz w:val="32"/>
          <w:szCs w:val="32"/>
        </w:rPr>
        <w:t>上年末固定资产金额为</w:t>
      </w:r>
      <w:r>
        <w:rPr>
          <w:rFonts w:hint="eastAsia" w:ascii="仿宋" w:hAnsi="仿宋" w:eastAsia="仿宋"/>
          <w:sz w:val="32"/>
          <w:szCs w:val="32"/>
          <w:lang w:val="en-US" w:eastAsia="zh-CN"/>
        </w:rPr>
        <w:t>5.8</w:t>
      </w:r>
      <w:r>
        <w:rPr>
          <w:rFonts w:hint="eastAsia" w:ascii="仿宋" w:hAnsi="仿宋" w:eastAsia="仿宋"/>
          <w:sz w:val="32"/>
          <w:szCs w:val="32"/>
        </w:rPr>
        <w:t>万</w:t>
      </w:r>
      <w:r>
        <w:rPr>
          <w:rFonts w:hint="eastAsia" w:ascii="仿宋" w:hAnsi="仿宋" w:eastAsia="仿宋"/>
          <w:sz w:val="32"/>
          <w:szCs w:val="32"/>
          <w:lang w:val="en-US" w:eastAsia="zh-CN"/>
        </w:rPr>
        <w:t>元，2019年度无购置车辆计划，本年度拟购置固定资产0万元，详见下表。</w:t>
      </w:r>
    </w:p>
    <w:p>
      <w:pPr>
        <w:ind w:firstLine="720" w:firstLineChars="225"/>
        <w:rPr>
          <w:rFonts w:hint="eastAsia" w:ascii="仿宋" w:hAnsi="仿宋" w:eastAsia="仿宋"/>
          <w:sz w:val="32"/>
          <w:szCs w:val="32"/>
        </w:rPr>
      </w:pPr>
    </w:p>
    <w:tbl>
      <w:tblPr>
        <w:tblStyle w:val="2"/>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602"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kern w:val="0"/>
                <w:sz w:val="32"/>
                <w:szCs w:val="32"/>
              </w:rPr>
              <w:t>高邑县县直</w:t>
            </w: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hint="default" w:ascii="宋体" w:hAnsi="宋体" w:cs="宋体" w:eastAsiaTheme="minorEastAsia"/>
                <w:kern w:val="0"/>
                <w:sz w:val="22"/>
                <w:lang w:val="en-US" w:eastAsia="zh-CN"/>
              </w:rPr>
            </w:pPr>
            <w:r>
              <w:rPr>
                <w:rFonts w:hint="eastAsia" w:ascii="宋体" w:hAnsi="宋体" w:cs="宋体"/>
                <w:kern w:val="0"/>
                <w:sz w:val="22"/>
              </w:rPr>
              <w:t>编制部门：</w:t>
            </w:r>
            <w:r>
              <w:rPr>
                <w:rFonts w:hint="eastAsia" w:ascii="宋体" w:hAnsi="宋体" w:cs="宋体"/>
                <w:kern w:val="0"/>
                <w:sz w:val="22"/>
                <w:lang w:val="en-US" w:eastAsia="zh-CN"/>
              </w:rPr>
              <w:t>225高邑县编办</w:t>
            </w:r>
            <w:bookmarkStart w:id="2" w:name="_GoBack"/>
            <w:bookmarkEnd w:id="2"/>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8</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5.8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 xml:space="preserve"> 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、单价在2</w:t>
            </w:r>
            <w:r>
              <w:rPr>
                <w:rFonts w:ascii="宋体" w:hAns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lang w:val="en-US" w:eastAsia="zh-CN"/>
              </w:rPr>
            </w:pPr>
            <w:r>
              <w:rPr>
                <w:rFonts w:hint="eastAsia" w:ascii="宋体" w:hAnsi="宋体" w:cs="宋体"/>
                <w:kern w:val="0"/>
                <w:sz w:val="22"/>
                <w:lang w:val="en-US" w:eastAsia="zh-CN"/>
              </w:rPr>
              <w:t>5.8</w:t>
            </w:r>
          </w:p>
        </w:tc>
      </w:tr>
    </w:tbl>
    <w:p>
      <w:pPr>
        <w:autoSpaceDE w:val="0"/>
        <w:autoSpaceDN w:val="0"/>
        <w:adjustRightInd w:val="0"/>
        <w:ind w:firstLine="643" w:firstLineChars="200"/>
        <w:jc w:val="left"/>
        <w:rPr>
          <w:rFonts w:hint="eastAsia" w:ascii="黑体" w:hAnsi="黑体" w:eastAsia="黑体"/>
          <w:b/>
          <w:sz w:val="32"/>
          <w:szCs w:val="32"/>
        </w:rPr>
      </w:pPr>
      <w:r>
        <w:rPr>
          <w:rFonts w:hint="eastAsia" w:ascii="黑体" w:hAnsi="黑体" w:eastAsia="黑体"/>
          <w:b/>
          <w:sz w:val="32"/>
          <w:szCs w:val="32"/>
        </w:rPr>
        <w:t>八、名词解释</w:t>
      </w:r>
    </w:p>
    <w:p>
      <w:pPr>
        <w:ind w:firstLine="720" w:firstLineChars="225"/>
        <w:rPr>
          <w:rFonts w:hint="eastAsia" w:ascii="仿宋" w:hAnsi="仿宋" w:eastAsia="仿宋"/>
          <w:sz w:val="32"/>
          <w:szCs w:val="32"/>
        </w:rPr>
      </w:pPr>
      <w:r>
        <w:rPr>
          <w:rFonts w:hint="eastAsia" w:ascii="仿宋" w:hAnsi="仿宋" w:eastAsia="仿宋"/>
          <w:sz w:val="32"/>
          <w:szCs w:val="32"/>
        </w:rPr>
        <w:t>1.一般</w:t>
      </w:r>
      <w:r>
        <w:rPr>
          <w:rFonts w:hint="eastAsia" w:ascii="仿宋" w:hAnsi="仿宋" w:eastAsia="仿宋"/>
          <w:sz w:val="32"/>
          <w:szCs w:val="32"/>
          <w:lang w:eastAsia="zh-CN"/>
        </w:rPr>
        <w:t>公</w:t>
      </w:r>
      <w:r>
        <w:rPr>
          <w:rFonts w:hint="eastAsia" w:ascii="仿宋" w:hAnsi="仿宋" w:eastAsia="仿宋"/>
          <w:sz w:val="32"/>
          <w:szCs w:val="32"/>
        </w:rPr>
        <w:t xml:space="preserve">共预算拨款收入：指县级财政当年拨付的资金。 </w:t>
      </w:r>
    </w:p>
    <w:p>
      <w:pPr>
        <w:ind w:firstLine="720" w:firstLineChars="225"/>
        <w:rPr>
          <w:rFonts w:hint="eastAsia" w:ascii="仿宋" w:hAnsi="仿宋" w:eastAsia="仿宋"/>
          <w:sz w:val="32"/>
          <w:szCs w:val="32"/>
        </w:rPr>
      </w:pPr>
      <w:r>
        <w:rPr>
          <w:rFonts w:hint="eastAsia" w:ascii="仿宋" w:hAnsi="仿宋" w:eastAsia="仿宋"/>
          <w:sz w:val="32"/>
          <w:szCs w:val="32"/>
        </w:rPr>
        <w:t>2.事业收入：指事业单位开展专业业务活动及辅助活动所取得的收入。</w:t>
      </w:r>
    </w:p>
    <w:p>
      <w:pPr>
        <w:ind w:firstLine="720" w:firstLineChars="225"/>
        <w:rPr>
          <w:rFonts w:hint="eastAsia" w:ascii="仿宋" w:hAnsi="仿宋" w:eastAsia="仿宋"/>
          <w:sz w:val="32"/>
          <w:szCs w:val="32"/>
        </w:rPr>
      </w:pPr>
      <w:r>
        <w:rPr>
          <w:rFonts w:hint="eastAsia" w:ascii="仿宋" w:hAnsi="仿宋" w:eastAsia="仿宋"/>
          <w:sz w:val="32"/>
          <w:szCs w:val="32"/>
        </w:rPr>
        <w:t>3.其他收入：指除上述“财政拨款收入”、“事业收入”等以外的收入。主要是按规定动用的租房收入、存款利息收入、中国清洁发展基金拨入的管理费等。</w:t>
      </w:r>
    </w:p>
    <w:p>
      <w:pPr>
        <w:ind w:firstLine="720" w:firstLineChars="225"/>
        <w:rPr>
          <w:rFonts w:hint="eastAsia" w:ascii="仿宋" w:hAnsi="仿宋" w:eastAsia="仿宋"/>
          <w:sz w:val="32"/>
          <w:szCs w:val="32"/>
        </w:rPr>
      </w:pPr>
      <w:r>
        <w:rPr>
          <w:rFonts w:hint="eastAsia" w:ascii="仿宋" w:hAnsi="仿宋" w:eastAsia="仿宋"/>
          <w:sz w:val="32"/>
          <w:szCs w:val="32"/>
        </w:rPr>
        <w:t>4.基本支出：指为保障机构正常运转、完成日常工作任务而发生的人员支出和公用支出。</w:t>
      </w:r>
    </w:p>
    <w:p>
      <w:pPr>
        <w:ind w:firstLine="720" w:firstLineChars="225"/>
        <w:rPr>
          <w:rFonts w:hint="eastAsia" w:ascii="仿宋" w:hAnsi="仿宋" w:eastAsia="仿宋"/>
          <w:sz w:val="32"/>
          <w:szCs w:val="32"/>
        </w:rPr>
      </w:pPr>
      <w:r>
        <w:rPr>
          <w:rFonts w:hint="eastAsia" w:ascii="仿宋" w:hAnsi="仿宋" w:eastAsia="仿宋"/>
          <w:sz w:val="32"/>
          <w:szCs w:val="32"/>
        </w:rPr>
        <w:t>5.项目支出：指在基本支出之外为完成特定行政任务和事业发展目标所发生的支出。</w:t>
      </w:r>
    </w:p>
    <w:p>
      <w:pPr>
        <w:ind w:firstLine="720" w:firstLineChars="225"/>
        <w:rPr>
          <w:rFonts w:hint="eastAsia" w:ascii="仿宋" w:hAnsi="仿宋" w:eastAsia="仿宋"/>
          <w:sz w:val="32"/>
          <w:szCs w:val="32"/>
        </w:rPr>
      </w:pPr>
      <w:r>
        <w:rPr>
          <w:rFonts w:hint="eastAsia" w:ascii="仿宋" w:hAnsi="仿宋" w:eastAsia="仿宋"/>
          <w:sz w:val="32"/>
          <w:szCs w:val="32"/>
        </w:rPr>
        <w:t>6.上缴上级支出：指所属单位上缴上级的支出。</w:t>
      </w:r>
    </w:p>
    <w:p>
      <w:pPr>
        <w:ind w:firstLine="720" w:firstLineChars="225"/>
        <w:rPr>
          <w:rFonts w:hint="eastAsia" w:ascii="仿宋" w:hAnsi="仿宋" w:eastAsia="仿宋"/>
          <w:sz w:val="32"/>
          <w:szCs w:val="32"/>
        </w:rPr>
      </w:pPr>
      <w:r>
        <w:rPr>
          <w:rFonts w:hint="eastAsia" w:ascii="仿宋" w:hAnsi="仿宋" w:eastAsia="仿宋"/>
          <w:sz w:val="32"/>
          <w:szCs w:val="32"/>
        </w:rPr>
        <w:t>7. “三公” 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720" w:firstLineChars="225"/>
        <w:rPr>
          <w:rFonts w:hint="eastAsia" w:ascii="仿宋" w:hAnsi="仿宋" w:eastAsia="仿宋"/>
          <w:sz w:val="32"/>
          <w:szCs w:val="32"/>
        </w:rPr>
      </w:pPr>
      <w:r>
        <w:rPr>
          <w:rFonts w:hint="eastAsia" w:ascii="仿宋" w:hAnsi="仿宋" w:eastAsia="仿宋"/>
          <w:sz w:val="32"/>
          <w:szCs w:val="32"/>
        </w:rPr>
        <w:t>8.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hint="eastAsia" w:ascii="宋体" w:hAnsi="宋体"/>
          <w:b/>
          <w:sz w:val="32"/>
          <w:szCs w:val="32"/>
        </w:rPr>
      </w:pPr>
      <w:r>
        <w:rPr>
          <w:rFonts w:hint="eastAsia" w:ascii="宋体" w:hAnsi="宋体"/>
          <w:b/>
          <w:sz w:val="32"/>
          <w:szCs w:val="32"/>
        </w:rPr>
        <w:t>九、其他需要说明的事项</w:t>
      </w:r>
    </w:p>
    <w:p>
      <w:pPr>
        <w:tabs>
          <w:tab w:val="left" w:pos="11490"/>
        </w:tabs>
        <w:ind w:firstLine="560" w:firstLineChars="200"/>
        <w:rPr>
          <w:rFonts w:ascii="仿宋" w:hAnsi="仿宋" w:eastAsia="仿宋"/>
        </w:rPr>
      </w:pPr>
      <w:r>
        <w:rPr>
          <w:rFonts w:ascii="仿宋" w:hAnsi="仿宋" w:eastAsia="仿宋"/>
          <w:sz w:val="28"/>
          <w:szCs w:val="28"/>
        </w:rPr>
        <w:t xml:space="preserve"> </w:t>
      </w:r>
      <w:r>
        <w:rPr>
          <w:rFonts w:hint="eastAsia" w:ascii="仿宋" w:hAnsi="仿宋" w:eastAsia="仿宋"/>
          <w:sz w:val="32"/>
          <w:szCs w:val="32"/>
        </w:rPr>
        <w:t>本部门无其他需要说明的事项</w:t>
      </w:r>
    </w:p>
    <w:p/>
    <w:sectPr>
      <w:pgSz w:w="16839" w:h="11907" w:orient="landscape"/>
      <w:pgMar w:top="1021" w:right="1361" w:bottom="102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FB59"/>
    <w:multiLevelType w:val="singleLevel"/>
    <w:tmpl w:val="10E3FB5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59FD"/>
    <w:rsid w:val="05892CDC"/>
    <w:rsid w:val="0AB70B8B"/>
    <w:rsid w:val="14E87F3B"/>
    <w:rsid w:val="167D7F65"/>
    <w:rsid w:val="17613180"/>
    <w:rsid w:val="1B8F18C3"/>
    <w:rsid w:val="1BA373E1"/>
    <w:rsid w:val="281F2D1B"/>
    <w:rsid w:val="2AB93244"/>
    <w:rsid w:val="3105742A"/>
    <w:rsid w:val="32BC78E4"/>
    <w:rsid w:val="39DF15DB"/>
    <w:rsid w:val="3EB73CE6"/>
    <w:rsid w:val="46C16572"/>
    <w:rsid w:val="492D3C65"/>
    <w:rsid w:val="4E233728"/>
    <w:rsid w:val="61B54703"/>
    <w:rsid w:val="6C1B1CA3"/>
    <w:rsid w:val="766624E2"/>
    <w:rsid w:val="79EB0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5">
    <w:name w:val="t21"/>
    <w:basedOn w:val="3"/>
    <w:qFormat/>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向日葵</cp:lastModifiedBy>
  <dcterms:modified xsi:type="dcterms:W3CDTF">2019-03-14T08:42:37Z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