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8"/>
          <w:szCs w:val="48"/>
        </w:rPr>
      </w:pPr>
      <w:bookmarkStart w:id="0" w:name="_Hlk135298094"/>
      <w:bookmarkEnd w:id="0"/>
    </w:p>
    <w:p>
      <w:pPr>
        <w:jc w:val="center"/>
        <w:rPr>
          <w:sz w:val="48"/>
          <w:szCs w:val="48"/>
        </w:rPr>
      </w:pP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rPr>
        <w:t>峰峰矿区</w:t>
      </w:r>
      <w:r>
        <w:rPr>
          <w:rFonts w:hint="eastAsia" w:ascii="方正小标宋简体" w:hAnsi="方正小标宋简体" w:eastAsia="方正小标宋简体" w:cs="方正小标宋简体"/>
          <w:sz w:val="56"/>
          <w:szCs w:val="56"/>
          <w:lang w:eastAsia="zh-CN"/>
        </w:rPr>
        <w:t>应急管理局</w:t>
      </w:r>
    </w:p>
    <w:p>
      <w:pPr>
        <w:jc w:val="center"/>
        <w:rPr>
          <w:rFonts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rPr>
        <w:t>权责事项清单办事指南和流程图</w:t>
      </w: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rFonts w:ascii="仿宋_GB2312" w:hAnsi="仿宋_GB2312" w:eastAsia="仿宋_GB2312" w:cs="仿宋_GB2312"/>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rFonts w:ascii="宋体" w:hAnsi="宋体" w:eastAsia="宋体"/>
          <w:sz w:val="44"/>
          <w:szCs w:val="44"/>
        </w:rPr>
      </w:pPr>
      <w:r>
        <w:rPr>
          <w:rFonts w:hint="eastAsia" w:ascii="楷体_GB2312" w:hAnsi="楷体_GB2312" w:eastAsia="楷体_GB2312" w:cs="楷体_GB2312"/>
          <w:sz w:val="32"/>
          <w:szCs w:val="40"/>
        </w:rPr>
        <w:t>2023年</w:t>
      </w:r>
    </w:p>
    <w:p>
      <w:pPr>
        <w:spacing w:line="600" w:lineRule="exact"/>
        <w:jc w:val="center"/>
        <w:rPr>
          <w:rFonts w:ascii="仿宋_GB2312" w:hAnsi="仿宋_GB2312" w:eastAsia="仿宋_GB2312" w:cs="仿宋_GB2312"/>
          <w:sz w:val="32"/>
          <w:szCs w:val="32"/>
        </w:rPr>
      </w:pPr>
      <w:r>
        <w:rPr>
          <w:rFonts w:hint="eastAsia" w:ascii="仿宋_GB2312" w:hAnsi="仿宋_GB2312" w:eastAsia="仿宋_GB2312" w:cs="仿宋_GB2312"/>
          <w:sz w:val="40"/>
          <w:szCs w:val="48"/>
        </w:rPr>
        <w:t>目   录</w:t>
      </w:r>
    </w:p>
    <w:p>
      <w:pPr>
        <w:spacing w:line="600" w:lineRule="exact"/>
        <w:jc w:val="center"/>
        <w:rPr>
          <w:rFonts w:ascii="仿宋_GB2312" w:hAnsi="仿宋_GB2312" w:eastAsia="仿宋_GB2312" w:cs="仿宋_GB2312"/>
          <w:sz w:val="40"/>
          <w:szCs w:val="48"/>
        </w:rPr>
      </w:pPr>
    </w:p>
    <w:sdt>
      <w:sdtPr>
        <w:rPr>
          <w:rFonts w:ascii="宋体" w:hAnsi="宋体" w:eastAsia="宋体" w:cstheme="minorBidi"/>
          <w:kern w:val="2"/>
          <w:sz w:val="21"/>
          <w:szCs w:val="24"/>
          <w:lang w:val="en-US" w:eastAsia="zh-CN" w:bidi="ar-SA"/>
        </w:rPr>
        <w:id w:val="147455374"/>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42" w:name="_GoBack"/>
          <w:bookmarkEnd w:id="42"/>
          <w:r>
            <w:rPr>
              <w:rFonts w:ascii="宋体" w:hAnsi="宋体" w:eastAsia="宋体"/>
              <w:sz w:val="21"/>
            </w:rPr>
            <w:t>目录</w:t>
          </w:r>
        </w:p>
        <w:p>
          <w:pPr>
            <w:pStyle w:val="11"/>
            <w:tabs>
              <w:tab w:val="right" w:leader="dot" w:pos="8845"/>
            </w:tabs>
          </w:pPr>
          <w:r>
            <w:fldChar w:fldCharType="begin"/>
          </w:r>
          <w:r>
            <w:instrText xml:space="preserve">TOC \o "1-2" \h \u </w:instrText>
          </w:r>
          <w:r>
            <w:fldChar w:fldCharType="separate"/>
          </w:r>
          <w:r>
            <w:fldChar w:fldCharType="begin"/>
          </w:r>
          <w:r>
            <w:instrText xml:space="preserve"> HYPERLINK \l _Toc19767 </w:instrText>
          </w:r>
          <w:r>
            <w:fldChar w:fldCharType="separate"/>
          </w:r>
          <w:r>
            <w:rPr>
              <w:rFonts w:hint="eastAsia" w:ascii="宋体" w:hAnsi="宋体" w:eastAsia="宋体"/>
              <w:szCs w:val="32"/>
            </w:rPr>
            <w:t>第一章 行政处罚服务指南</w:t>
          </w:r>
          <w:r>
            <w:tab/>
          </w:r>
          <w:r>
            <w:fldChar w:fldCharType="begin"/>
          </w:r>
          <w:r>
            <w:instrText xml:space="preserve"> PAGEREF _Toc19767 \h </w:instrText>
          </w:r>
          <w:r>
            <w:fldChar w:fldCharType="separate"/>
          </w:r>
          <w:r>
            <w:t>5</w:t>
          </w:r>
          <w:r>
            <w:fldChar w:fldCharType="end"/>
          </w:r>
          <w:r>
            <w:fldChar w:fldCharType="end"/>
          </w:r>
        </w:p>
        <w:p>
          <w:pPr>
            <w:pStyle w:val="14"/>
            <w:tabs>
              <w:tab w:val="right" w:leader="dot" w:pos="8845"/>
            </w:tabs>
          </w:pPr>
          <w:r>
            <w:fldChar w:fldCharType="begin"/>
          </w:r>
          <w:r>
            <w:instrText xml:space="preserve"> HYPERLINK \l _Toc29576 </w:instrText>
          </w:r>
          <w:r>
            <w:fldChar w:fldCharType="separate"/>
          </w:r>
          <w:r>
            <w:rPr>
              <w:rFonts w:hint="eastAsia" w:ascii="楷体" w:hAnsi="楷体" w:eastAsia="楷体"/>
              <w:szCs w:val="32"/>
            </w:rPr>
            <w:t>第一节 适用范围和行政处罚的种类</w:t>
          </w:r>
          <w:r>
            <w:tab/>
          </w:r>
          <w:r>
            <w:fldChar w:fldCharType="begin"/>
          </w:r>
          <w:r>
            <w:instrText xml:space="preserve"> PAGEREF _Toc29576 \h </w:instrText>
          </w:r>
          <w:r>
            <w:fldChar w:fldCharType="separate"/>
          </w:r>
          <w:r>
            <w:t>5</w:t>
          </w:r>
          <w:r>
            <w:fldChar w:fldCharType="end"/>
          </w:r>
          <w:r>
            <w:fldChar w:fldCharType="end"/>
          </w:r>
        </w:p>
        <w:p>
          <w:pPr>
            <w:pStyle w:val="14"/>
            <w:tabs>
              <w:tab w:val="right" w:leader="dot" w:pos="8845"/>
            </w:tabs>
          </w:pPr>
          <w:r>
            <w:fldChar w:fldCharType="begin"/>
          </w:r>
          <w:r>
            <w:instrText xml:space="preserve"> HYPERLINK \l _Toc10535 </w:instrText>
          </w:r>
          <w:r>
            <w:fldChar w:fldCharType="separate"/>
          </w:r>
          <w:r>
            <w:rPr>
              <w:rFonts w:hint="eastAsia" w:ascii="楷体" w:hAnsi="楷体" w:eastAsia="楷体"/>
              <w:szCs w:val="32"/>
            </w:rPr>
            <w:t>第二节</w:t>
          </w:r>
          <w:r>
            <w:rPr>
              <w:rFonts w:hint="eastAsia" w:ascii="楷体" w:hAnsi="楷体" w:eastAsia="楷体"/>
              <w:szCs w:val="32"/>
              <w:lang w:val="en-US" w:eastAsia="zh-CN"/>
            </w:rPr>
            <w:t xml:space="preserve">  </w:t>
          </w:r>
          <w:r>
            <w:rPr>
              <w:rFonts w:hint="eastAsia" w:ascii="楷体" w:hAnsi="楷体" w:eastAsia="楷体"/>
              <w:szCs w:val="32"/>
            </w:rPr>
            <w:t>行政处罚依据</w:t>
          </w:r>
          <w:r>
            <w:tab/>
          </w:r>
          <w:r>
            <w:fldChar w:fldCharType="begin"/>
          </w:r>
          <w:r>
            <w:instrText xml:space="preserve"> PAGEREF _Toc10535 \h </w:instrText>
          </w:r>
          <w:r>
            <w:fldChar w:fldCharType="separate"/>
          </w:r>
          <w:r>
            <w:t>5</w:t>
          </w:r>
          <w:r>
            <w:fldChar w:fldCharType="end"/>
          </w:r>
          <w:r>
            <w:fldChar w:fldCharType="end"/>
          </w:r>
        </w:p>
        <w:p>
          <w:pPr>
            <w:pStyle w:val="14"/>
            <w:tabs>
              <w:tab w:val="right" w:leader="dot" w:pos="8845"/>
            </w:tabs>
          </w:pPr>
          <w:r>
            <w:fldChar w:fldCharType="begin"/>
          </w:r>
          <w:r>
            <w:instrText xml:space="preserve"> HYPERLINK \l _Toc8130 </w:instrText>
          </w:r>
          <w:r>
            <w:fldChar w:fldCharType="separate"/>
          </w:r>
          <w:r>
            <w:rPr>
              <w:rFonts w:hint="eastAsia" w:ascii="黑体" w:hAnsi="黑体" w:eastAsia="黑体"/>
              <w:szCs w:val="32"/>
            </w:rPr>
            <w:t>第</w:t>
          </w:r>
          <w:r>
            <w:rPr>
              <w:rFonts w:hint="eastAsia" w:ascii="楷体" w:hAnsi="楷体" w:eastAsia="楷体"/>
              <w:szCs w:val="32"/>
            </w:rPr>
            <w:t>三节  执法主体和承办机构</w:t>
          </w:r>
          <w:r>
            <w:tab/>
          </w:r>
          <w:r>
            <w:fldChar w:fldCharType="begin"/>
          </w:r>
          <w:r>
            <w:instrText xml:space="preserve"> PAGEREF _Toc8130 \h </w:instrText>
          </w:r>
          <w:r>
            <w:fldChar w:fldCharType="separate"/>
          </w:r>
          <w:r>
            <w:t>10</w:t>
          </w:r>
          <w:r>
            <w:fldChar w:fldCharType="end"/>
          </w:r>
          <w:r>
            <w:fldChar w:fldCharType="end"/>
          </w:r>
        </w:p>
        <w:p>
          <w:pPr>
            <w:pStyle w:val="14"/>
            <w:tabs>
              <w:tab w:val="right" w:leader="dot" w:pos="8845"/>
            </w:tabs>
          </w:pPr>
          <w:r>
            <w:fldChar w:fldCharType="begin"/>
          </w:r>
          <w:r>
            <w:instrText xml:space="preserve"> HYPERLINK \l _Toc506 </w:instrText>
          </w:r>
          <w:r>
            <w:fldChar w:fldCharType="separate"/>
          </w:r>
          <w:r>
            <w:rPr>
              <w:rFonts w:hint="eastAsia" w:ascii="楷体" w:hAnsi="楷体" w:eastAsia="楷体"/>
              <w:szCs w:val="32"/>
            </w:rPr>
            <w:t>第四节  行政处罚的管辖</w:t>
          </w:r>
          <w:r>
            <w:tab/>
          </w:r>
          <w:r>
            <w:fldChar w:fldCharType="begin"/>
          </w:r>
          <w:r>
            <w:instrText xml:space="preserve"> PAGEREF _Toc506 \h </w:instrText>
          </w:r>
          <w:r>
            <w:fldChar w:fldCharType="separate"/>
          </w:r>
          <w:r>
            <w:t>10</w:t>
          </w:r>
          <w:r>
            <w:fldChar w:fldCharType="end"/>
          </w:r>
          <w:r>
            <w:fldChar w:fldCharType="end"/>
          </w:r>
        </w:p>
        <w:p>
          <w:pPr>
            <w:pStyle w:val="14"/>
            <w:tabs>
              <w:tab w:val="right" w:leader="dot" w:pos="8845"/>
            </w:tabs>
          </w:pPr>
          <w:r>
            <w:fldChar w:fldCharType="begin"/>
          </w:r>
          <w:r>
            <w:instrText xml:space="preserve"> HYPERLINK \l _Toc9196 </w:instrText>
          </w:r>
          <w:r>
            <w:fldChar w:fldCharType="separate"/>
          </w:r>
          <w:r>
            <w:rPr>
              <w:rFonts w:hint="eastAsia" w:ascii="楷体" w:hAnsi="楷体" w:eastAsia="楷体"/>
              <w:szCs w:val="32"/>
            </w:rPr>
            <w:t>第五节  行政处罚程序</w:t>
          </w:r>
          <w:r>
            <w:tab/>
          </w:r>
          <w:r>
            <w:fldChar w:fldCharType="begin"/>
          </w:r>
          <w:r>
            <w:instrText xml:space="preserve"> PAGEREF _Toc9196 \h </w:instrText>
          </w:r>
          <w:r>
            <w:fldChar w:fldCharType="separate"/>
          </w:r>
          <w:r>
            <w:t>11</w:t>
          </w:r>
          <w:r>
            <w:fldChar w:fldCharType="end"/>
          </w:r>
          <w:r>
            <w:fldChar w:fldCharType="end"/>
          </w:r>
        </w:p>
        <w:p>
          <w:pPr>
            <w:pStyle w:val="14"/>
            <w:tabs>
              <w:tab w:val="right" w:leader="dot" w:pos="8845"/>
            </w:tabs>
          </w:pPr>
          <w:r>
            <w:fldChar w:fldCharType="begin"/>
          </w:r>
          <w:r>
            <w:instrText xml:space="preserve"> HYPERLINK \l _Toc21558 </w:instrText>
          </w:r>
          <w:r>
            <w:fldChar w:fldCharType="separate"/>
          </w:r>
          <w:r>
            <w:rPr>
              <w:rFonts w:hint="eastAsia" w:ascii="楷体" w:hAnsi="楷体" w:eastAsia="楷体"/>
              <w:szCs w:val="32"/>
            </w:rPr>
            <w:t>第六节</w:t>
          </w:r>
          <w:r>
            <w:rPr>
              <w:rFonts w:hint="eastAsia" w:ascii="楷体" w:hAnsi="楷体" w:eastAsia="楷体"/>
              <w:szCs w:val="32"/>
              <w:lang w:val="en-US" w:eastAsia="zh-CN"/>
            </w:rPr>
            <w:t xml:space="preserve">  </w:t>
          </w:r>
          <w:r>
            <w:rPr>
              <w:rFonts w:hint="eastAsia" w:ascii="楷体" w:hAnsi="楷体" w:eastAsia="楷体"/>
              <w:szCs w:val="32"/>
            </w:rPr>
            <w:t>当事人的权利和义务</w:t>
          </w:r>
          <w:r>
            <w:tab/>
          </w:r>
          <w:r>
            <w:fldChar w:fldCharType="begin"/>
          </w:r>
          <w:r>
            <w:instrText xml:space="preserve"> PAGEREF _Toc21558 \h </w:instrText>
          </w:r>
          <w:r>
            <w:fldChar w:fldCharType="separate"/>
          </w:r>
          <w:r>
            <w:t>19</w:t>
          </w:r>
          <w:r>
            <w:fldChar w:fldCharType="end"/>
          </w:r>
          <w:r>
            <w:fldChar w:fldCharType="end"/>
          </w:r>
        </w:p>
        <w:p>
          <w:pPr>
            <w:pStyle w:val="14"/>
            <w:tabs>
              <w:tab w:val="right" w:leader="dot" w:pos="8845"/>
            </w:tabs>
          </w:pPr>
          <w:r>
            <w:fldChar w:fldCharType="begin"/>
          </w:r>
          <w:r>
            <w:instrText xml:space="preserve"> HYPERLINK \l _Toc28973 </w:instrText>
          </w:r>
          <w:r>
            <w:fldChar w:fldCharType="separate"/>
          </w:r>
          <w:r>
            <w:rPr>
              <w:rFonts w:hint="eastAsia" w:ascii="楷体" w:hAnsi="楷体" w:eastAsia="楷体"/>
              <w:szCs w:val="32"/>
              <w:lang w:eastAsia="zh-CN"/>
            </w:rPr>
            <w:t>峰峰矿区应急管理局行政处罚（一般程序）流程图</w:t>
          </w:r>
          <w:r>
            <w:tab/>
          </w:r>
          <w:r>
            <w:fldChar w:fldCharType="begin"/>
          </w:r>
          <w:r>
            <w:instrText xml:space="preserve"> PAGEREF _Toc28973 \h </w:instrText>
          </w:r>
          <w:r>
            <w:fldChar w:fldCharType="separate"/>
          </w:r>
          <w:r>
            <w:t>21</w:t>
          </w:r>
          <w:r>
            <w:fldChar w:fldCharType="end"/>
          </w:r>
          <w:r>
            <w:fldChar w:fldCharType="end"/>
          </w:r>
        </w:p>
        <w:p>
          <w:pPr>
            <w:pStyle w:val="11"/>
            <w:tabs>
              <w:tab w:val="right" w:leader="dot" w:pos="8845"/>
            </w:tabs>
          </w:pPr>
          <w:r>
            <w:fldChar w:fldCharType="begin"/>
          </w:r>
          <w:r>
            <w:instrText xml:space="preserve"> HYPERLINK \l _Toc55 </w:instrText>
          </w:r>
          <w:r>
            <w:fldChar w:fldCharType="separate"/>
          </w:r>
          <w:r>
            <w:rPr>
              <w:rFonts w:hint="eastAsia" w:ascii="宋体" w:hAnsi="宋体" w:eastAsia="宋体"/>
              <w:szCs w:val="32"/>
            </w:rPr>
            <w:t>第二章 行政强制服务指南</w:t>
          </w:r>
          <w:r>
            <w:tab/>
          </w:r>
          <w:r>
            <w:fldChar w:fldCharType="begin"/>
          </w:r>
          <w:r>
            <w:instrText xml:space="preserve"> PAGEREF _Toc55 \h </w:instrText>
          </w:r>
          <w:r>
            <w:fldChar w:fldCharType="separate"/>
          </w:r>
          <w:r>
            <w:t>22</w:t>
          </w:r>
          <w:r>
            <w:fldChar w:fldCharType="end"/>
          </w:r>
          <w:r>
            <w:fldChar w:fldCharType="end"/>
          </w:r>
        </w:p>
        <w:p>
          <w:pPr>
            <w:pStyle w:val="14"/>
            <w:tabs>
              <w:tab w:val="right" w:leader="dot" w:pos="8845"/>
            </w:tabs>
          </w:pPr>
          <w:r>
            <w:fldChar w:fldCharType="begin"/>
          </w:r>
          <w:r>
            <w:instrText xml:space="preserve"> HYPERLINK \l _Toc4855 </w:instrText>
          </w:r>
          <w:r>
            <w:fldChar w:fldCharType="separate"/>
          </w:r>
          <w:r>
            <w:rPr>
              <w:rFonts w:hint="eastAsia" w:ascii="楷体" w:hAnsi="楷体" w:eastAsia="楷体" w:cs="仿宋_GB2312"/>
              <w:kern w:val="2"/>
              <w:szCs w:val="32"/>
            </w:rPr>
            <w:t>第一节 行政强制一般规定</w:t>
          </w:r>
          <w:r>
            <w:tab/>
          </w:r>
          <w:r>
            <w:fldChar w:fldCharType="begin"/>
          </w:r>
          <w:r>
            <w:instrText xml:space="preserve"> PAGEREF _Toc4855 \h </w:instrText>
          </w:r>
          <w:r>
            <w:fldChar w:fldCharType="separate"/>
          </w:r>
          <w:r>
            <w:t>22</w:t>
          </w:r>
          <w:r>
            <w:fldChar w:fldCharType="end"/>
          </w:r>
          <w:r>
            <w:fldChar w:fldCharType="end"/>
          </w:r>
        </w:p>
        <w:p>
          <w:pPr>
            <w:pStyle w:val="14"/>
            <w:tabs>
              <w:tab w:val="right" w:leader="dot" w:pos="8845"/>
            </w:tabs>
          </w:pPr>
          <w:r>
            <w:fldChar w:fldCharType="begin"/>
          </w:r>
          <w:r>
            <w:instrText xml:space="preserve"> HYPERLINK \l _Toc1549 </w:instrText>
          </w:r>
          <w:r>
            <w:fldChar w:fldCharType="separate"/>
          </w:r>
          <w:r>
            <w:rPr>
              <w:rFonts w:hint="eastAsia" w:ascii="楷体" w:hAnsi="楷体" w:eastAsia="楷体" w:cs="仿宋_GB2312"/>
              <w:kern w:val="2"/>
              <w:szCs w:val="32"/>
            </w:rPr>
            <w:t>第二节 行政强制措施</w:t>
          </w:r>
          <w:r>
            <w:tab/>
          </w:r>
          <w:r>
            <w:fldChar w:fldCharType="begin"/>
          </w:r>
          <w:r>
            <w:instrText xml:space="preserve"> PAGEREF _Toc1549 \h </w:instrText>
          </w:r>
          <w:r>
            <w:fldChar w:fldCharType="separate"/>
          </w:r>
          <w:r>
            <w:t>23</w:t>
          </w:r>
          <w:r>
            <w:fldChar w:fldCharType="end"/>
          </w:r>
          <w:r>
            <w:fldChar w:fldCharType="end"/>
          </w:r>
        </w:p>
        <w:p>
          <w:pPr>
            <w:pStyle w:val="14"/>
            <w:tabs>
              <w:tab w:val="right" w:leader="dot" w:pos="8845"/>
            </w:tabs>
          </w:pPr>
          <w:r>
            <w:fldChar w:fldCharType="begin"/>
          </w:r>
          <w:r>
            <w:instrText xml:space="preserve"> HYPERLINK \l _Toc10744 </w:instrText>
          </w:r>
          <w:r>
            <w:fldChar w:fldCharType="separate"/>
          </w:r>
          <w:r>
            <w:rPr>
              <w:rFonts w:hint="eastAsia" w:ascii="楷体" w:hAnsi="楷体" w:eastAsia="楷体" w:cs="仿宋_GB2312"/>
              <w:kern w:val="2"/>
              <w:szCs w:val="32"/>
            </w:rPr>
            <w:t>第三节</w:t>
          </w:r>
          <w:r>
            <w:rPr>
              <w:rFonts w:hint="eastAsia" w:ascii="楷体" w:hAnsi="楷体" w:eastAsia="楷体" w:cs="仿宋_GB2312"/>
              <w:kern w:val="2"/>
              <w:szCs w:val="32"/>
              <w:lang w:val="en-US" w:eastAsia="zh-CN"/>
            </w:rPr>
            <w:t xml:space="preserve"> </w:t>
          </w:r>
          <w:r>
            <w:rPr>
              <w:rFonts w:hint="eastAsia" w:ascii="楷体" w:hAnsi="楷体" w:eastAsia="楷体" w:cs="仿宋_GB2312"/>
              <w:kern w:val="2"/>
              <w:szCs w:val="32"/>
            </w:rPr>
            <w:t>行政强制执行</w:t>
          </w:r>
          <w:r>
            <w:tab/>
          </w:r>
          <w:r>
            <w:fldChar w:fldCharType="begin"/>
          </w:r>
          <w:r>
            <w:instrText xml:space="preserve"> PAGEREF _Toc10744 \h </w:instrText>
          </w:r>
          <w:r>
            <w:fldChar w:fldCharType="separate"/>
          </w:r>
          <w:r>
            <w:t>26</w:t>
          </w:r>
          <w:r>
            <w:fldChar w:fldCharType="end"/>
          </w:r>
          <w:r>
            <w:fldChar w:fldCharType="end"/>
          </w:r>
        </w:p>
        <w:p>
          <w:pPr>
            <w:pStyle w:val="14"/>
            <w:tabs>
              <w:tab w:val="right" w:leader="dot" w:pos="8845"/>
            </w:tabs>
          </w:pPr>
          <w:r>
            <w:fldChar w:fldCharType="begin"/>
          </w:r>
          <w:r>
            <w:instrText xml:space="preserve"> HYPERLINK \l _Toc2334 </w:instrText>
          </w:r>
          <w:r>
            <w:fldChar w:fldCharType="separate"/>
          </w:r>
          <w:r>
            <w:rPr>
              <w:rFonts w:hint="eastAsia" w:ascii="楷体" w:hAnsi="楷体" w:eastAsia="楷体" w:cs="仿宋_GB2312"/>
              <w:szCs w:val="32"/>
            </w:rPr>
            <w:t>第四节 当事人的权利和义务</w:t>
          </w:r>
          <w:r>
            <w:tab/>
          </w:r>
          <w:r>
            <w:fldChar w:fldCharType="begin"/>
          </w:r>
          <w:r>
            <w:instrText xml:space="preserve"> PAGEREF _Toc2334 \h </w:instrText>
          </w:r>
          <w:r>
            <w:fldChar w:fldCharType="separate"/>
          </w:r>
          <w:r>
            <w:t>31</w:t>
          </w:r>
          <w:r>
            <w:fldChar w:fldCharType="end"/>
          </w:r>
          <w:r>
            <w:fldChar w:fldCharType="end"/>
          </w:r>
        </w:p>
        <w:p>
          <w:pPr>
            <w:pStyle w:val="14"/>
            <w:tabs>
              <w:tab w:val="right" w:leader="dot" w:pos="8845"/>
            </w:tabs>
          </w:pPr>
          <w:r>
            <w:fldChar w:fldCharType="begin"/>
          </w:r>
          <w:r>
            <w:instrText xml:space="preserve"> HYPERLINK \l _Toc937 </w:instrText>
          </w:r>
          <w:r>
            <w:fldChar w:fldCharType="separate"/>
          </w:r>
          <w:r>
            <w:rPr>
              <w:rFonts w:hint="eastAsia" w:ascii="楷体" w:hAnsi="楷体" w:eastAsia="楷体"/>
              <w:szCs w:val="32"/>
              <w:lang w:eastAsia="zh-CN"/>
            </w:rPr>
            <w:t>峰峰矿区应急管理局行政强制</w:t>
          </w:r>
          <w:r>
            <w:tab/>
          </w:r>
          <w:r>
            <w:fldChar w:fldCharType="begin"/>
          </w:r>
          <w:r>
            <w:instrText xml:space="preserve"> PAGEREF _Toc937 \h </w:instrText>
          </w:r>
          <w:r>
            <w:fldChar w:fldCharType="separate"/>
          </w:r>
          <w:r>
            <w:t>32</w:t>
          </w:r>
          <w:r>
            <w:fldChar w:fldCharType="end"/>
          </w:r>
          <w:r>
            <w:fldChar w:fldCharType="end"/>
          </w:r>
        </w:p>
        <w:p>
          <w:pPr>
            <w:pStyle w:val="14"/>
            <w:tabs>
              <w:tab w:val="right" w:leader="dot" w:pos="8845"/>
            </w:tabs>
          </w:pPr>
          <w:r>
            <w:fldChar w:fldCharType="begin"/>
          </w:r>
          <w:r>
            <w:instrText xml:space="preserve"> HYPERLINK \l _Toc8706 </w:instrText>
          </w:r>
          <w:r>
            <w:fldChar w:fldCharType="separate"/>
          </w:r>
          <w:r>
            <w:rPr>
              <w:rFonts w:hint="eastAsia" w:ascii="楷体" w:hAnsi="楷体" w:eastAsia="楷体"/>
              <w:szCs w:val="32"/>
              <w:lang w:eastAsia="zh-CN"/>
            </w:rPr>
            <w:t>（停止供电、停止供应民用爆炸物品）流程图</w:t>
          </w:r>
          <w:r>
            <w:tab/>
          </w:r>
          <w:r>
            <w:fldChar w:fldCharType="begin"/>
          </w:r>
          <w:r>
            <w:instrText xml:space="preserve"> PAGEREF _Toc8706 \h </w:instrText>
          </w:r>
          <w:r>
            <w:fldChar w:fldCharType="separate"/>
          </w:r>
          <w:r>
            <w:t>32</w:t>
          </w:r>
          <w:r>
            <w:fldChar w:fldCharType="end"/>
          </w:r>
          <w:r>
            <w:fldChar w:fldCharType="end"/>
          </w:r>
        </w:p>
        <w:p>
          <w:pPr>
            <w:pStyle w:val="14"/>
            <w:tabs>
              <w:tab w:val="right" w:leader="dot" w:pos="8845"/>
            </w:tabs>
          </w:pPr>
          <w:r>
            <w:fldChar w:fldCharType="begin"/>
          </w:r>
          <w:r>
            <w:instrText xml:space="preserve"> HYPERLINK \l _Toc23352 </w:instrText>
          </w:r>
          <w:r>
            <w:fldChar w:fldCharType="separate"/>
          </w:r>
          <w:r>
            <w:rPr>
              <w:rFonts w:hint="eastAsia" w:ascii="楷体" w:hAnsi="楷体" w:eastAsia="楷体"/>
              <w:szCs w:val="32"/>
              <w:lang w:val="en-US" w:eastAsia="zh-CN"/>
            </w:rPr>
            <w:t>峰峰矿区应急管理局行政强制</w:t>
          </w:r>
          <w:r>
            <w:tab/>
          </w:r>
          <w:r>
            <w:fldChar w:fldCharType="begin"/>
          </w:r>
          <w:r>
            <w:instrText xml:space="preserve"> PAGEREF _Toc23352 \h </w:instrText>
          </w:r>
          <w:r>
            <w:fldChar w:fldCharType="separate"/>
          </w:r>
          <w:r>
            <w:t>33</w:t>
          </w:r>
          <w:r>
            <w:fldChar w:fldCharType="end"/>
          </w:r>
          <w:r>
            <w:fldChar w:fldCharType="end"/>
          </w:r>
        </w:p>
        <w:p>
          <w:pPr>
            <w:pStyle w:val="14"/>
            <w:tabs>
              <w:tab w:val="right" w:leader="dot" w:pos="8845"/>
            </w:tabs>
          </w:pPr>
          <w:r>
            <w:fldChar w:fldCharType="begin"/>
          </w:r>
          <w:r>
            <w:instrText xml:space="preserve"> HYPERLINK \l _Toc30783 </w:instrText>
          </w:r>
          <w:r>
            <w:fldChar w:fldCharType="separate"/>
          </w:r>
          <w:r>
            <w:rPr>
              <w:rFonts w:hint="eastAsia" w:ascii="楷体" w:hAnsi="楷体" w:eastAsia="楷体"/>
              <w:szCs w:val="32"/>
              <w:lang w:val="en-US" w:eastAsia="zh-CN"/>
            </w:rPr>
            <w:t>（查封、扣押）流程图</w:t>
          </w:r>
          <w:r>
            <w:tab/>
          </w:r>
          <w:r>
            <w:fldChar w:fldCharType="begin"/>
          </w:r>
          <w:r>
            <w:instrText xml:space="preserve"> PAGEREF _Toc30783 \h </w:instrText>
          </w:r>
          <w:r>
            <w:fldChar w:fldCharType="separate"/>
          </w:r>
          <w:r>
            <w:t>33</w:t>
          </w:r>
          <w:r>
            <w:fldChar w:fldCharType="end"/>
          </w:r>
          <w:r>
            <w:fldChar w:fldCharType="end"/>
          </w:r>
        </w:p>
        <w:p>
          <w:pPr>
            <w:pStyle w:val="11"/>
            <w:tabs>
              <w:tab w:val="right" w:leader="dot" w:pos="8845"/>
            </w:tabs>
          </w:pPr>
          <w:r>
            <w:fldChar w:fldCharType="begin"/>
          </w:r>
          <w:r>
            <w:instrText xml:space="preserve"> HYPERLINK \l _Toc30434 </w:instrText>
          </w:r>
          <w:r>
            <w:fldChar w:fldCharType="separate"/>
          </w:r>
          <w:r>
            <w:rPr>
              <w:rFonts w:hint="eastAsia" w:ascii="宋体" w:hAnsi="宋体" w:eastAsia="宋体"/>
              <w:szCs w:val="32"/>
            </w:rPr>
            <w:t>第三章  行政处罚听证服务指南</w:t>
          </w:r>
          <w:r>
            <w:tab/>
          </w:r>
          <w:r>
            <w:fldChar w:fldCharType="begin"/>
          </w:r>
          <w:r>
            <w:instrText xml:space="preserve"> PAGEREF _Toc30434 \h </w:instrText>
          </w:r>
          <w:r>
            <w:fldChar w:fldCharType="separate"/>
          </w:r>
          <w:r>
            <w:t>34</w:t>
          </w:r>
          <w:r>
            <w:fldChar w:fldCharType="end"/>
          </w:r>
          <w:r>
            <w:fldChar w:fldCharType="end"/>
          </w:r>
        </w:p>
        <w:p>
          <w:pPr>
            <w:pStyle w:val="14"/>
            <w:tabs>
              <w:tab w:val="right" w:leader="dot" w:pos="8845"/>
            </w:tabs>
          </w:pPr>
          <w:r>
            <w:fldChar w:fldCharType="begin"/>
          </w:r>
          <w:r>
            <w:instrText xml:space="preserve"> HYPERLINK \l _Toc10946 </w:instrText>
          </w:r>
          <w:r>
            <w:fldChar w:fldCharType="separate"/>
          </w:r>
          <w:r>
            <w:rPr>
              <w:rFonts w:hint="eastAsia" w:ascii="楷体" w:hAnsi="楷体" w:eastAsia="楷体" w:cs="仿宋_GB2312"/>
              <w:szCs w:val="32"/>
            </w:rPr>
            <w:t>第一节  听证告知</w:t>
          </w:r>
          <w:r>
            <w:tab/>
          </w:r>
          <w:r>
            <w:fldChar w:fldCharType="begin"/>
          </w:r>
          <w:r>
            <w:instrText xml:space="preserve"> PAGEREF _Toc10946 \h </w:instrText>
          </w:r>
          <w:r>
            <w:fldChar w:fldCharType="separate"/>
          </w:r>
          <w:r>
            <w:t>34</w:t>
          </w:r>
          <w:r>
            <w:fldChar w:fldCharType="end"/>
          </w:r>
          <w:r>
            <w:fldChar w:fldCharType="end"/>
          </w:r>
        </w:p>
        <w:p>
          <w:pPr>
            <w:pStyle w:val="14"/>
            <w:tabs>
              <w:tab w:val="right" w:leader="dot" w:pos="8845"/>
            </w:tabs>
          </w:pPr>
          <w:r>
            <w:fldChar w:fldCharType="begin"/>
          </w:r>
          <w:r>
            <w:instrText xml:space="preserve"> HYPERLINK \l _Toc11511 </w:instrText>
          </w:r>
          <w:r>
            <w:fldChar w:fldCharType="separate"/>
          </w:r>
          <w:r>
            <w:rPr>
              <w:rFonts w:hint="eastAsia" w:ascii="楷体" w:hAnsi="楷体" w:eastAsia="楷体" w:cs="仿宋_GB2312"/>
              <w:szCs w:val="32"/>
            </w:rPr>
            <w:t>第二节  听证的组织</w:t>
          </w:r>
          <w:r>
            <w:tab/>
          </w:r>
          <w:r>
            <w:fldChar w:fldCharType="begin"/>
          </w:r>
          <w:r>
            <w:instrText xml:space="preserve"> PAGEREF _Toc11511 \h </w:instrText>
          </w:r>
          <w:r>
            <w:fldChar w:fldCharType="separate"/>
          </w:r>
          <w:r>
            <w:t>35</w:t>
          </w:r>
          <w:r>
            <w:fldChar w:fldCharType="end"/>
          </w:r>
          <w:r>
            <w:fldChar w:fldCharType="end"/>
          </w:r>
        </w:p>
        <w:p>
          <w:pPr>
            <w:pStyle w:val="14"/>
            <w:tabs>
              <w:tab w:val="right" w:leader="dot" w:pos="8845"/>
            </w:tabs>
          </w:pPr>
          <w:r>
            <w:fldChar w:fldCharType="begin"/>
          </w:r>
          <w:r>
            <w:instrText xml:space="preserve"> HYPERLINK \l _Toc1357 </w:instrText>
          </w:r>
          <w:r>
            <w:fldChar w:fldCharType="separate"/>
          </w:r>
          <w:r>
            <w:rPr>
              <w:rFonts w:hint="eastAsia" w:ascii="楷体" w:hAnsi="楷体" w:eastAsia="楷体" w:cs="仿宋_GB2312"/>
              <w:szCs w:val="32"/>
            </w:rPr>
            <w:t>第三节听证基本程序</w:t>
          </w:r>
          <w:r>
            <w:tab/>
          </w:r>
          <w:r>
            <w:fldChar w:fldCharType="begin"/>
          </w:r>
          <w:r>
            <w:instrText xml:space="preserve"> PAGEREF _Toc1357 \h </w:instrText>
          </w:r>
          <w:r>
            <w:fldChar w:fldCharType="separate"/>
          </w:r>
          <w:r>
            <w:t>36</w:t>
          </w:r>
          <w:r>
            <w:fldChar w:fldCharType="end"/>
          </w:r>
          <w:r>
            <w:fldChar w:fldCharType="end"/>
          </w:r>
        </w:p>
        <w:p>
          <w:pPr>
            <w:pStyle w:val="14"/>
            <w:tabs>
              <w:tab w:val="right" w:leader="dot" w:pos="8845"/>
            </w:tabs>
          </w:pPr>
          <w:r>
            <w:fldChar w:fldCharType="begin"/>
          </w:r>
          <w:r>
            <w:instrText xml:space="preserve"> HYPERLINK \l _Toc30235 </w:instrText>
          </w:r>
          <w:r>
            <w:fldChar w:fldCharType="separate"/>
          </w:r>
          <w:r>
            <w:rPr>
              <w:rFonts w:hint="eastAsia" w:ascii="楷体" w:hAnsi="楷体" w:eastAsia="楷体"/>
              <w:szCs w:val="32"/>
              <w:lang w:eastAsia="zh-CN"/>
            </w:rPr>
            <w:t>峰峰矿区应急管理局行政听证流程图</w:t>
          </w:r>
          <w:r>
            <w:tab/>
          </w:r>
          <w:r>
            <w:fldChar w:fldCharType="begin"/>
          </w:r>
          <w:r>
            <w:instrText xml:space="preserve"> PAGEREF _Toc30235 \h </w:instrText>
          </w:r>
          <w:r>
            <w:fldChar w:fldCharType="separate"/>
          </w:r>
          <w:r>
            <w:t>39</w:t>
          </w:r>
          <w:r>
            <w:fldChar w:fldCharType="end"/>
          </w:r>
          <w:r>
            <w:fldChar w:fldCharType="end"/>
          </w:r>
        </w:p>
        <w:p>
          <w:pPr>
            <w:pStyle w:val="11"/>
            <w:tabs>
              <w:tab w:val="right" w:leader="dot" w:pos="8845"/>
            </w:tabs>
          </w:pPr>
          <w:r>
            <w:fldChar w:fldCharType="begin"/>
          </w:r>
          <w:r>
            <w:instrText xml:space="preserve"> HYPERLINK \l _Toc12853 </w:instrText>
          </w:r>
          <w:r>
            <w:fldChar w:fldCharType="separate"/>
          </w:r>
          <w:r>
            <w:rPr>
              <w:rFonts w:hint="eastAsia" w:ascii="宋体" w:hAnsi="宋体" w:eastAsia="宋体" w:cs="仿宋_GB2312"/>
              <w:szCs w:val="32"/>
            </w:rPr>
            <w:t>第四章 行政处罚的裁量及执行</w:t>
          </w:r>
          <w:r>
            <w:tab/>
          </w:r>
          <w:r>
            <w:fldChar w:fldCharType="begin"/>
          </w:r>
          <w:r>
            <w:instrText xml:space="preserve"> PAGEREF _Toc12853 \h </w:instrText>
          </w:r>
          <w:r>
            <w:fldChar w:fldCharType="separate"/>
          </w:r>
          <w:r>
            <w:t>40</w:t>
          </w:r>
          <w:r>
            <w:fldChar w:fldCharType="end"/>
          </w:r>
          <w:r>
            <w:fldChar w:fldCharType="end"/>
          </w:r>
        </w:p>
        <w:p>
          <w:pPr>
            <w:pStyle w:val="14"/>
            <w:tabs>
              <w:tab w:val="right" w:leader="dot" w:pos="8845"/>
            </w:tabs>
          </w:pPr>
          <w:r>
            <w:fldChar w:fldCharType="begin"/>
          </w:r>
          <w:r>
            <w:instrText xml:space="preserve"> HYPERLINK \l _Toc7815 </w:instrText>
          </w:r>
          <w:r>
            <w:fldChar w:fldCharType="separate"/>
          </w:r>
          <w:r>
            <w:rPr>
              <w:rFonts w:hint="eastAsia" w:ascii="楷体" w:hAnsi="楷体" w:eastAsia="楷体" w:cs="仿宋_GB2312"/>
              <w:szCs w:val="32"/>
            </w:rPr>
            <w:t>第一节 行政处罚裁量及执行的依据</w:t>
          </w:r>
          <w:r>
            <w:tab/>
          </w:r>
          <w:r>
            <w:fldChar w:fldCharType="begin"/>
          </w:r>
          <w:r>
            <w:instrText xml:space="preserve"> PAGEREF _Toc7815 \h </w:instrText>
          </w:r>
          <w:r>
            <w:fldChar w:fldCharType="separate"/>
          </w:r>
          <w:r>
            <w:t>40</w:t>
          </w:r>
          <w:r>
            <w:fldChar w:fldCharType="end"/>
          </w:r>
          <w:r>
            <w:fldChar w:fldCharType="end"/>
          </w:r>
        </w:p>
        <w:p>
          <w:pPr>
            <w:pStyle w:val="14"/>
            <w:tabs>
              <w:tab w:val="right" w:leader="dot" w:pos="8845"/>
            </w:tabs>
          </w:pPr>
          <w:r>
            <w:fldChar w:fldCharType="begin"/>
          </w:r>
          <w:r>
            <w:instrText xml:space="preserve"> HYPERLINK \l _Toc21281 </w:instrText>
          </w:r>
          <w:r>
            <w:fldChar w:fldCharType="separate"/>
          </w:r>
          <w:r>
            <w:rPr>
              <w:rFonts w:hint="eastAsia" w:ascii="楷体" w:hAnsi="楷体" w:eastAsia="楷体" w:cs="仿宋_GB2312"/>
              <w:szCs w:val="32"/>
            </w:rPr>
            <w:t>第二节  行政处罚的裁量</w:t>
          </w:r>
          <w:r>
            <w:tab/>
          </w:r>
          <w:r>
            <w:fldChar w:fldCharType="begin"/>
          </w:r>
          <w:r>
            <w:instrText xml:space="preserve"> PAGEREF _Toc21281 \h </w:instrText>
          </w:r>
          <w:r>
            <w:fldChar w:fldCharType="separate"/>
          </w:r>
          <w:r>
            <w:t>40</w:t>
          </w:r>
          <w:r>
            <w:fldChar w:fldCharType="end"/>
          </w:r>
          <w:r>
            <w:fldChar w:fldCharType="end"/>
          </w:r>
        </w:p>
        <w:p>
          <w:pPr>
            <w:pStyle w:val="14"/>
            <w:tabs>
              <w:tab w:val="right" w:leader="dot" w:pos="8845"/>
            </w:tabs>
          </w:pPr>
          <w:r>
            <w:fldChar w:fldCharType="begin"/>
          </w:r>
          <w:r>
            <w:instrText xml:space="preserve"> HYPERLINK \l _Toc30292 </w:instrText>
          </w:r>
          <w:r>
            <w:fldChar w:fldCharType="separate"/>
          </w:r>
          <w:r>
            <w:rPr>
              <w:rFonts w:hint="eastAsia" w:ascii="楷体" w:hAnsi="楷体" w:eastAsia="楷体" w:cs="仿宋_GB2312"/>
              <w:szCs w:val="32"/>
            </w:rPr>
            <w:t>第三节  行政处罚的执行</w:t>
          </w:r>
          <w:r>
            <w:tab/>
          </w:r>
          <w:r>
            <w:fldChar w:fldCharType="begin"/>
          </w:r>
          <w:r>
            <w:instrText xml:space="preserve"> PAGEREF _Toc30292 \h </w:instrText>
          </w:r>
          <w:r>
            <w:fldChar w:fldCharType="separate"/>
          </w:r>
          <w:r>
            <w:t>44</w:t>
          </w:r>
          <w:r>
            <w:fldChar w:fldCharType="end"/>
          </w:r>
          <w:r>
            <w:fldChar w:fldCharType="end"/>
          </w:r>
        </w:p>
        <w:p>
          <w:pPr>
            <w:pStyle w:val="14"/>
            <w:tabs>
              <w:tab w:val="right" w:leader="dot" w:pos="8845"/>
            </w:tabs>
          </w:pPr>
          <w:r>
            <w:fldChar w:fldCharType="begin"/>
          </w:r>
          <w:r>
            <w:instrText xml:space="preserve"> HYPERLINK \l _Toc168 </w:instrText>
          </w:r>
          <w:r>
            <w:fldChar w:fldCharType="separate"/>
          </w:r>
          <w:r>
            <w:rPr>
              <w:rFonts w:hint="eastAsia" w:ascii="楷体" w:hAnsi="楷体" w:eastAsia="楷体" w:cs="仿宋_GB2312"/>
              <w:szCs w:val="32"/>
            </w:rPr>
            <w:t>第四节  结案</w:t>
          </w:r>
          <w:r>
            <w:tab/>
          </w:r>
          <w:r>
            <w:fldChar w:fldCharType="begin"/>
          </w:r>
          <w:r>
            <w:instrText xml:space="preserve"> PAGEREF _Toc168 \h </w:instrText>
          </w:r>
          <w:r>
            <w:fldChar w:fldCharType="separate"/>
          </w:r>
          <w:r>
            <w:t>44</w:t>
          </w:r>
          <w:r>
            <w:fldChar w:fldCharType="end"/>
          </w:r>
          <w:r>
            <w:fldChar w:fldCharType="end"/>
          </w:r>
        </w:p>
        <w:p>
          <w:pPr>
            <w:pStyle w:val="14"/>
            <w:tabs>
              <w:tab w:val="right" w:leader="dot" w:pos="8845"/>
            </w:tabs>
          </w:pPr>
          <w:r>
            <w:fldChar w:fldCharType="begin"/>
          </w:r>
          <w:r>
            <w:instrText xml:space="preserve"> HYPERLINK \l _Toc8469 </w:instrText>
          </w:r>
          <w:r>
            <w:fldChar w:fldCharType="separate"/>
          </w:r>
          <w:r>
            <w:rPr>
              <w:rFonts w:hint="eastAsia" w:ascii="楷体" w:hAnsi="楷体" w:eastAsia="楷体" w:cs="仿宋_GB2312"/>
              <w:szCs w:val="32"/>
            </w:rPr>
            <w:t>第五节  备案</w:t>
          </w:r>
          <w:r>
            <w:tab/>
          </w:r>
          <w:r>
            <w:fldChar w:fldCharType="begin"/>
          </w:r>
          <w:r>
            <w:instrText xml:space="preserve"> PAGEREF _Toc8469 \h </w:instrText>
          </w:r>
          <w:r>
            <w:fldChar w:fldCharType="separate"/>
          </w:r>
          <w:r>
            <w:t>45</w:t>
          </w:r>
          <w:r>
            <w:fldChar w:fldCharType="end"/>
          </w:r>
          <w:r>
            <w:fldChar w:fldCharType="end"/>
          </w:r>
        </w:p>
        <w:p>
          <w:pPr>
            <w:pStyle w:val="11"/>
            <w:tabs>
              <w:tab w:val="right" w:leader="dot" w:pos="8845"/>
            </w:tabs>
          </w:pPr>
          <w:r>
            <w:fldChar w:fldCharType="begin"/>
          </w:r>
          <w:r>
            <w:instrText xml:space="preserve"> HYPERLINK \l _Toc28673 </w:instrText>
          </w:r>
          <w:r>
            <w:fldChar w:fldCharType="separate"/>
          </w:r>
          <w:r>
            <w:rPr>
              <w:rFonts w:hint="eastAsia" w:ascii="宋体" w:hAnsi="宋体" w:eastAsia="宋体" w:cs="仿宋_GB2312"/>
              <w:szCs w:val="32"/>
            </w:rPr>
            <w:t>第五章  行政检查服务指南</w:t>
          </w:r>
          <w:r>
            <w:tab/>
          </w:r>
          <w:r>
            <w:fldChar w:fldCharType="begin"/>
          </w:r>
          <w:r>
            <w:instrText xml:space="preserve"> PAGEREF _Toc28673 \h </w:instrText>
          </w:r>
          <w:r>
            <w:fldChar w:fldCharType="separate"/>
          </w:r>
          <w:r>
            <w:t>46</w:t>
          </w:r>
          <w:r>
            <w:fldChar w:fldCharType="end"/>
          </w:r>
          <w:r>
            <w:fldChar w:fldCharType="end"/>
          </w:r>
        </w:p>
        <w:p>
          <w:pPr>
            <w:pStyle w:val="14"/>
            <w:tabs>
              <w:tab w:val="right" w:leader="dot" w:pos="8845"/>
            </w:tabs>
          </w:pPr>
          <w:r>
            <w:fldChar w:fldCharType="begin"/>
          </w:r>
          <w:r>
            <w:instrText xml:space="preserve"> HYPERLINK \l _Toc26445 </w:instrText>
          </w:r>
          <w:r>
            <w:fldChar w:fldCharType="separate"/>
          </w:r>
          <w:r>
            <w:rPr>
              <w:rFonts w:hint="eastAsia" w:ascii="楷体" w:hAnsi="楷体" w:eastAsia="楷体" w:cs="仿宋_GB2312"/>
              <w:szCs w:val="32"/>
            </w:rPr>
            <w:t>第一节  编制现场检查方案</w:t>
          </w:r>
          <w:r>
            <w:tab/>
          </w:r>
          <w:r>
            <w:fldChar w:fldCharType="begin"/>
          </w:r>
          <w:r>
            <w:instrText xml:space="preserve"> PAGEREF _Toc26445 \h </w:instrText>
          </w:r>
          <w:r>
            <w:fldChar w:fldCharType="separate"/>
          </w:r>
          <w:r>
            <w:t>46</w:t>
          </w:r>
          <w:r>
            <w:fldChar w:fldCharType="end"/>
          </w:r>
          <w:r>
            <w:fldChar w:fldCharType="end"/>
          </w:r>
        </w:p>
        <w:p>
          <w:pPr>
            <w:pStyle w:val="14"/>
            <w:tabs>
              <w:tab w:val="right" w:leader="dot" w:pos="8845"/>
            </w:tabs>
          </w:pPr>
          <w:r>
            <w:fldChar w:fldCharType="begin"/>
          </w:r>
          <w:r>
            <w:instrText xml:space="preserve"> HYPERLINK \l _Toc14122 </w:instrText>
          </w:r>
          <w:r>
            <w:fldChar w:fldCharType="separate"/>
          </w:r>
          <w:r>
            <w:rPr>
              <w:rFonts w:hint="eastAsia" w:ascii="楷体" w:hAnsi="楷体" w:eastAsia="楷体" w:cs="仿宋_GB2312"/>
              <w:szCs w:val="32"/>
            </w:rPr>
            <w:t>第二节现场检查有关规定和依据</w:t>
          </w:r>
          <w:r>
            <w:tab/>
          </w:r>
          <w:r>
            <w:fldChar w:fldCharType="begin"/>
          </w:r>
          <w:r>
            <w:instrText xml:space="preserve"> PAGEREF _Toc14122 \h </w:instrText>
          </w:r>
          <w:r>
            <w:fldChar w:fldCharType="separate"/>
          </w:r>
          <w:r>
            <w:t>46</w:t>
          </w:r>
          <w:r>
            <w:fldChar w:fldCharType="end"/>
          </w:r>
          <w:r>
            <w:fldChar w:fldCharType="end"/>
          </w:r>
        </w:p>
        <w:p>
          <w:pPr>
            <w:pStyle w:val="14"/>
            <w:tabs>
              <w:tab w:val="right" w:leader="dot" w:pos="8845"/>
            </w:tabs>
          </w:pPr>
          <w:r>
            <w:fldChar w:fldCharType="begin"/>
          </w:r>
          <w:r>
            <w:instrText xml:space="preserve"> HYPERLINK \l _Toc16513 </w:instrText>
          </w:r>
          <w:r>
            <w:fldChar w:fldCharType="separate"/>
          </w:r>
          <w:r>
            <w:rPr>
              <w:rFonts w:hint="eastAsia" w:ascii="楷体" w:hAnsi="楷体" w:eastAsia="楷体" w:cs="仿宋_GB2312"/>
              <w:szCs w:val="32"/>
            </w:rPr>
            <w:t>第三节 现场检查一般程序</w:t>
          </w:r>
          <w:r>
            <w:tab/>
          </w:r>
          <w:r>
            <w:fldChar w:fldCharType="begin"/>
          </w:r>
          <w:r>
            <w:instrText xml:space="preserve"> PAGEREF _Toc16513 \h </w:instrText>
          </w:r>
          <w:r>
            <w:fldChar w:fldCharType="separate"/>
          </w:r>
          <w:r>
            <w:t>47</w:t>
          </w:r>
          <w:r>
            <w:fldChar w:fldCharType="end"/>
          </w:r>
          <w:r>
            <w:fldChar w:fldCharType="end"/>
          </w:r>
        </w:p>
        <w:p>
          <w:pPr>
            <w:pStyle w:val="14"/>
            <w:tabs>
              <w:tab w:val="right" w:leader="dot" w:pos="8845"/>
            </w:tabs>
          </w:pPr>
          <w:r>
            <w:fldChar w:fldCharType="begin"/>
          </w:r>
          <w:r>
            <w:instrText xml:space="preserve"> HYPERLINK \l _Toc11043 </w:instrText>
          </w:r>
          <w:r>
            <w:fldChar w:fldCharType="separate"/>
          </w:r>
          <w:r>
            <w:rPr>
              <w:rFonts w:hint="eastAsia" w:ascii="楷体" w:hAnsi="楷体" w:eastAsia="楷体" w:cs="仿宋_GB2312"/>
              <w:szCs w:val="32"/>
            </w:rPr>
            <w:t>第四节 检查方式</w:t>
          </w:r>
          <w:r>
            <w:tab/>
          </w:r>
          <w:r>
            <w:fldChar w:fldCharType="begin"/>
          </w:r>
          <w:r>
            <w:instrText xml:space="preserve"> PAGEREF _Toc11043 \h </w:instrText>
          </w:r>
          <w:r>
            <w:fldChar w:fldCharType="separate"/>
          </w:r>
          <w:r>
            <w:t>48</w:t>
          </w:r>
          <w:r>
            <w:fldChar w:fldCharType="end"/>
          </w:r>
          <w:r>
            <w:fldChar w:fldCharType="end"/>
          </w:r>
        </w:p>
        <w:p>
          <w:pPr>
            <w:pStyle w:val="14"/>
            <w:tabs>
              <w:tab w:val="right" w:leader="dot" w:pos="8845"/>
            </w:tabs>
          </w:pPr>
          <w:r>
            <w:fldChar w:fldCharType="begin"/>
          </w:r>
          <w:r>
            <w:instrText xml:space="preserve"> HYPERLINK \l _Toc17145 </w:instrText>
          </w:r>
          <w:r>
            <w:fldChar w:fldCharType="separate"/>
          </w:r>
          <w:r>
            <w:rPr>
              <w:rFonts w:hint="eastAsia" w:ascii="楷体" w:hAnsi="楷体" w:eastAsia="楷体" w:cs="仿宋_GB2312"/>
              <w:szCs w:val="32"/>
            </w:rPr>
            <w:t>第五节 现场检查内容</w:t>
          </w:r>
          <w:r>
            <w:tab/>
          </w:r>
          <w:r>
            <w:fldChar w:fldCharType="begin"/>
          </w:r>
          <w:r>
            <w:instrText xml:space="preserve"> PAGEREF _Toc17145 \h </w:instrText>
          </w:r>
          <w:r>
            <w:fldChar w:fldCharType="separate"/>
          </w:r>
          <w:r>
            <w:t>49</w:t>
          </w:r>
          <w:r>
            <w:fldChar w:fldCharType="end"/>
          </w:r>
          <w:r>
            <w:fldChar w:fldCharType="end"/>
          </w:r>
        </w:p>
        <w:p>
          <w:pPr>
            <w:pStyle w:val="14"/>
            <w:tabs>
              <w:tab w:val="right" w:leader="dot" w:pos="8845"/>
            </w:tabs>
          </w:pPr>
          <w:r>
            <w:fldChar w:fldCharType="begin"/>
          </w:r>
          <w:r>
            <w:instrText xml:space="preserve"> HYPERLINK \l _Toc28982 </w:instrText>
          </w:r>
          <w:r>
            <w:fldChar w:fldCharType="separate"/>
          </w:r>
          <w:r>
            <w:rPr>
              <w:rFonts w:hint="eastAsia" w:ascii="楷体" w:hAnsi="楷体" w:eastAsia="楷体" w:cs="仿宋_GB2312"/>
              <w:szCs w:val="32"/>
            </w:rPr>
            <w:t>第六节 现场检查记录</w:t>
          </w:r>
          <w:r>
            <w:tab/>
          </w:r>
          <w:r>
            <w:fldChar w:fldCharType="begin"/>
          </w:r>
          <w:r>
            <w:instrText xml:space="preserve"> PAGEREF _Toc28982 \h </w:instrText>
          </w:r>
          <w:r>
            <w:fldChar w:fldCharType="separate"/>
          </w:r>
          <w:r>
            <w:t>49</w:t>
          </w:r>
          <w:r>
            <w:fldChar w:fldCharType="end"/>
          </w:r>
          <w:r>
            <w:fldChar w:fldCharType="end"/>
          </w:r>
        </w:p>
        <w:p>
          <w:pPr>
            <w:pStyle w:val="14"/>
            <w:tabs>
              <w:tab w:val="right" w:leader="dot" w:pos="8845"/>
            </w:tabs>
          </w:pPr>
          <w:r>
            <w:fldChar w:fldCharType="begin"/>
          </w:r>
          <w:r>
            <w:instrText xml:space="preserve"> HYPERLINK \l _Toc20078 </w:instrText>
          </w:r>
          <w:r>
            <w:fldChar w:fldCharType="separate"/>
          </w:r>
          <w:r>
            <w:rPr>
              <w:rFonts w:hint="eastAsia" w:ascii="楷体" w:hAnsi="楷体" w:eastAsia="楷体" w:cs="仿宋_GB2312"/>
              <w:szCs w:val="32"/>
            </w:rPr>
            <w:t>第七节 现场处理措施</w:t>
          </w:r>
          <w:r>
            <w:tab/>
          </w:r>
          <w:r>
            <w:fldChar w:fldCharType="begin"/>
          </w:r>
          <w:r>
            <w:instrText xml:space="preserve"> PAGEREF _Toc20078 \h </w:instrText>
          </w:r>
          <w:r>
            <w:fldChar w:fldCharType="separate"/>
          </w:r>
          <w:r>
            <w:t>50</w:t>
          </w:r>
          <w:r>
            <w:fldChar w:fldCharType="end"/>
          </w:r>
          <w:r>
            <w:fldChar w:fldCharType="end"/>
          </w:r>
        </w:p>
        <w:p>
          <w:pPr>
            <w:pStyle w:val="14"/>
            <w:tabs>
              <w:tab w:val="right" w:leader="dot" w:pos="8845"/>
            </w:tabs>
          </w:pPr>
          <w:r>
            <w:fldChar w:fldCharType="begin"/>
          </w:r>
          <w:r>
            <w:instrText xml:space="preserve"> HYPERLINK \l _Toc25453 </w:instrText>
          </w:r>
          <w:r>
            <w:fldChar w:fldCharType="separate"/>
          </w:r>
          <w:r>
            <w:rPr>
              <w:rFonts w:hint="eastAsia" w:ascii="楷体" w:hAnsi="楷体" w:eastAsia="楷体" w:cs="仿宋_GB2312"/>
              <w:szCs w:val="32"/>
            </w:rPr>
            <w:t>第八节 其他处理措施</w:t>
          </w:r>
          <w:r>
            <w:tab/>
          </w:r>
          <w:r>
            <w:fldChar w:fldCharType="begin"/>
          </w:r>
          <w:r>
            <w:instrText xml:space="preserve"> PAGEREF _Toc25453 \h </w:instrText>
          </w:r>
          <w:r>
            <w:fldChar w:fldCharType="separate"/>
          </w:r>
          <w:r>
            <w:t>51</w:t>
          </w:r>
          <w:r>
            <w:fldChar w:fldCharType="end"/>
          </w:r>
          <w:r>
            <w:fldChar w:fldCharType="end"/>
          </w:r>
        </w:p>
        <w:p>
          <w:pPr>
            <w:pStyle w:val="14"/>
            <w:tabs>
              <w:tab w:val="right" w:leader="dot" w:pos="8845"/>
            </w:tabs>
          </w:pPr>
          <w:r>
            <w:fldChar w:fldCharType="begin"/>
          </w:r>
          <w:r>
            <w:instrText xml:space="preserve"> HYPERLINK \l _Toc12592 </w:instrText>
          </w:r>
          <w:r>
            <w:fldChar w:fldCharType="separate"/>
          </w:r>
          <w:r>
            <w:rPr>
              <w:rFonts w:hint="eastAsia" w:ascii="楷体" w:hAnsi="楷体" w:eastAsia="楷体" w:cs="仿宋_GB2312"/>
              <w:szCs w:val="32"/>
            </w:rPr>
            <w:t>第九节  当事人的权力和义务</w:t>
          </w:r>
          <w:r>
            <w:tab/>
          </w:r>
          <w:r>
            <w:fldChar w:fldCharType="begin"/>
          </w:r>
          <w:r>
            <w:instrText xml:space="preserve"> PAGEREF _Toc12592 \h </w:instrText>
          </w:r>
          <w:r>
            <w:fldChar w:fldCharType="separate"/>
          </w:r>
          <w:r>
            <w:t>52</w:t>
          </w:r>
          <w:r>
            <w:fldChar w:fldCharType="end"/>
          </w:r>
          <w:r>
            <w:fldChar w:fldCharType="end"/>
          </w:r>
        </w:p>
        <w:p>
          <w:pPr>
            <w:pStyle w:val="14"/>
            <w:tabs>
              <w:tab w:val="right" w:leader="dot" w:pos="8845"/>
            </w:tabs>
          </w:pPr>
          <w:r>
            <w:fldChar w:fldCharType="begin"/>
          </w:r>
          <w:r>
            <w:instrText xml:space="preserve"> HYPERLINK \l _Toc10643 </w:instrText>
          </w:r>
          <w:r>
            <w:fldChar w:fldCharType="separate"/>
          </w:r>
          <w:r>
            <w:rPr>
              <w:rFonts w:hint="eastAsia" w:ascii="楷体" w:hAnsi="楷体" w:eastAsia="楷体"/>
              <w:szCs w:val="32"/>
              <w:lang w:val="en-US" w:eastAsia="zh-CN"/>
            </w:rPr>
            <w:t>峰峰矿区应急管理局行政检查流程图</w:t>
          </w:r>
          <w:r>
            <w:tab/>
          </w:r>
          <w:r>
            <w:fldChar w:fldCharType="begin"/>
          </w:r>
          <w:r>
            <w:instrText xml:space="preserve"> PAGEREF _Toc10643 \h </w:instrText>
          </w:r>
          <w:r>
            <w:fldChar w:fldCharType="separate"/>
          </w:r>
          <w:r>
            <w:t>53</w:t>
          </w:r>
          <w:r>
            <w:fldChar w:fldCharType="end"/>
          </w:r>
          <w:r>
            <w:fldChar w:fldCharType="end"/>
          </w:r>
        </w:p>
        <w:p>
          <w:r>
            <w:fldChar w:fldCharType="end"/>
          </w:r>
        </w:p>
      </w:sdtContent>
    </w:sdt>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hint="eastAsia" w:ascii="仿宋" w:hAnsi="仿宋" w:eastAsia="仿宋"/>
          <w:b/>
          <w:sz w:val="32"/>
          <w:szCs w:val="32"/>
        </w:rPr>
      </w:pPr>
    </w:p>
    <w:p>
      <w:pPr>
        <w:spacing w:line="580" w:lineRule="exact"/>
        <w:ind w:firstLine="1928" w:firstLineChars="600"/>
        <w:rPr>
          <w:rFonts w:ascii="仿宋" w:hAnsi="仿宋" w:eastAsia="仿宋"/>
          <w:sz w:val="32"/>
          <w:szCs w:val="32"/>
        </w:rPr>
      </w:pPr>
      <w:r>
        <w:rPr>
          <w:rFonts w:hint="eastAsia" w:ascii="仿宋" w:hAnsi="仿宋" w:eastAsia="仿宋"/>
          <w:b/>
          <w:sz w:val="32"/>
          <w:szCs w:val="32"/>
        </w:rPr>
        <w:t>部门名称：</w:t>
      </w:r>
      <w:r>
        <w:rPr>
          <w:rFonts w:hint="eastAsia" w:ascii="仿宋" w:hAnsi="仿宋" w:eastAsia="仿宋"/>
          <w:sz w:val="32"/>
          <w:szCs w:val="32"/>
          <w:lang w:eastAsia="zh-CN"/>
        </w:rPr>
        <w:t>邯郸市</w:t>
      </w:r>
      <w:r>
        <w:rPr>
          <w:rFonts w:hint="eastAsia" w:ascii="仿宋" w:hAnsi="仿宋" w:eastAsia="仿宋"/>
          <w:sz w:val="32"/>
          <w:szCs w:val="32"/>
        </w:rPr>
        <w:t>峰峰矿区应急管理局</w:t>
      </w:r>
    </w:p>
    <w:p>
      <w:pPr>
        <w:spacing w:line="560" w:lineRule="exact"/>
        <w:ind w:firstLine="1928" w:firstLineChars="600"/>
        <w:jc w:val="both"/>
        <w:rPr>
          <w:rFonts w:ascii="仿宋" w:hAnsi="仿宋" w:eastAsia="仿宋"/>
          <w:sz w:val="32"/>
          <w:szCs w:val="32"/>
        </w:rPr>
      </w:pPr>
      <w:r>
        <w:rPr>
          <w:rFonts w:hint="eastAsia" w:ascii="仿宋" w:hAnsi="仿宋" w:eastAsia="仿宋"/>
          <w:b/>
          <w:sz w:val="32"/>
          <w:szCs w:val="32"/>
        </w:rPr>
        <w:t>办公地址：</w:t>
      </w:r>
      <w:r>
        <w:rPr>
          <w:rFonts w:hint="eastAsia" w:ascii="仿宋" w:hAnsi="仿宋" w:eastAsia="仿宋"/>
          <w:sz w:val="32"/>
          <w:szCs w:val="32"/>
          <w:lang w:eastAsia="zh-CN"/>
        </w:rPr>
        <w:t>邯郸市</w:t>
      </w:r>
      <w:r>
        <w:rPr>
          <w:rFonts w:hint="eastAsia" w:ascii="仿宋" w:hAnsi="仿宋" w:eastAsia="仿宋"/>
          <w:sz w:val="32"/>
          <w:szCs w:val="32"/>
        </w:rPr>
        <w:t>峰峰矿区滏阳</w:t>
      </w:r>
      <w:r>
        <w:rPr>
          <w:rFonts w:ascii="仿宋" w:hAnsi="仿宋" w:eastAsia="仿宋"/>
          <w:sz w:val="32"/>
          <w:szCs w:val="32"/>
        </w:rPr>
        <w:t>东路</w:t>
      </w:r>
      <w:r>
        <w:rPr>
          <w:rFonts w:hint="eastAsia" w:ascii="仿宋" w:hAnsi="仿宋" w:eastAsia="仿宋"/>
          <w:sz w:val="32"/>
          <w:szCs w:val="32"/>
          <w:lang w:val="en-US" w:eastAsia="zh-CN"/>
        </w:rPr>
        <w:t>23</w:t>
      </w:r>
      <w:r>
        <w:rPr>
          <w:rFonts w:hint="eastAsia" w:ascii="仿宋" w:hAnsi="仿宋" w:eastAsia="仿宋"/>
          <w:sz w:val="32"/>
          <w:szCs w:val="32"/>
        </w:rPr>
        <w:t>号</w:t>
      </w:r>
    </w:p>
    <w:p>
      <w:pPr>
        <w:spacing w:line="560" w:lineRule="exact"/>
        <w:ind w:firstLine="1928" w:firstLineChars="600"/>
        <w:jc w:val="both"/>
        <w:rPr>
          <w:rFonts w:ascii="仿宋" w:hAnsi="仿宋" w:eastAsia="仿宋"/>
          <w:sz w:val="32"/>
          <w:szCs w:val="32"/>
        </w:rPr>
      </w:pPr>
      <w:r>
        <w:rPr>
          <w:rFonts w:hint="eastAsia" w:ascii="仿宋" w:hAnsi="仿宋" w:eastAsia="仿宋"/>
          <w:b/>
          <w:sz w:val="32"/>
          <w:szCs w:val="32"/>
        </w:rPr>
        <w:t>联系电话：</w:t>
      </w:r>
      <w:r>
        <w:rPr>
          <w:rFonts w:hint="eastAsia" w:ascii="仿宋" w:hAnsi="仿宋" w:eastAsia="仿宋"/>
          <w:sz w:val="32"/>
          <w:szCs w:val="32"/>
        </w:rPr>
        <w:t>0310-</w:t>
      </w:r>
      <w:r>
        <w:rPr>
          <w:rFonts w:ascii="仿宋" w:hAnsi="仿宋" w:eastAsia="仿宋"/>
          <w:sz w:val="32"/>
          <w:szCs w:val="32"/>
        </w:rPr>
        <w:t>5013245</w:t>
      </w:r>
    </w:p>
    <w:p>
      <w:pPr>
        <w:tabs>
          <w:tab w:val="left" w:pos="4635"/>
        </w:tabs>
        <w:spacing w:line="560" w:lineRule="exact"/>
        <w:ind w:firstLine="1928" w:firstLineChars="600"/>
        <w:jc w:val="both"/>
        <w:rPr>
          <w:rFonts w:ascii="仿宋" w:hAnsi="仿宋" w:eastAsia="仿宋"/>
          <w:sz w:val="32"/>
          <w:szCs w:val="32"/>
        </w:rPr>
      </w:pPr>
      <w:r>
        <w:rPr>
          <w:rFonts w:hint="eastAsia" w:ascii="仿宋" w:hAnsi="仿宋" w:eastAsia="仿宋"/>
          <w:b/>
          <w:sz w:val="32"/>
          <w:szCs w:val="32"/>
        </w:rPr>
        <w:t>传真电话：</w:t>
      </w:r>
      <w:r>
        <w:rPr>
          <w:rFonts w:hint="eastAsia" w:ascii="仿宋" w:hAnsi="仿宋" w:eastAsia="仿宋"/>
          <w:sz w:val="32"/>
          <w:szCs w:val="32"/>
        </w:rPr>
        <w:t>0310-</w:t>
      </w:r>
      <w:r>
        <w:rPr>
          <w:rFonts w:ascii="仿宋" w:hAnsi="仿宋" w:eastAsia="仿宋"/>
          <w:sz w:val="32"/>
          <w:szCs w:val="32"/>
        </w:rPr>
        <w:t>5013245</w:t>
      </w:r>
    </w:p>
    <w:p>
      <w:pPr>
        <w:spacing w:line="560" w:lineRule="exact"/>
        <w:ind w:firstLine="1928" w:firstLineChars="600"/>
        <w:jc w:val="both"/>
        <w:rPr>
          <w:rFonts w:ascii="仿宋" w:hAnsi="仿宋" w:eastAsia="仿宋"/>
          <w:b/>
          <w:sz w:val="32"/>
          <w:szCs w:val="32"/>
        </w:rPr>
      </w:pPr>
      <w:r>
        <w:rPr>
          <w:rFonts w:hint="eastAsia" w:ascii="仿宋" w:hAnsi="仿宋" w:eastAsia="仿宋"/>
          <w:b/>
          <w:sz w:val="32"/>
          <w:szCs w:val="32"/>
        </w:rPr>
        <w:t>安全生产事故和重大安全生产隐患举报电话：</w:t>
      </w:r>
    </w:p>
    <w:p>
      <w:pPr>
        <w:spacing w:line="560" w:lineRule="exact"/>
        <w:ind w:firstLine="3520" w:firstLineChars="1100"/>
        <w:jc w:val="both"/>
        <w:rPr>
          <w:rFonts w:ascii="仿宋" w:hAnsi="仿宋" w:eastAsia="仿宋"/>
          <w:sz w:val="32"/>
          <w:szCs w:val="32"/>
        </w:rPr>
      </w:pPr>
      <w:r>
        <w:rPr>
          <w:rFonts w:hint="eastAsia" w:ascii="仿宋" w:hAnsi="仿宋" w:eastAsia="仿宋"/>
          <w:sz w:val="32"/>
          <w:szCs w:val="32"/>
        </w:rPr>
        <w:t xml:space="preserve">0310- </w:t>
      </w:r>
      <w:r>
        <w:rPr>
          <w:rFonts w:ascii="仿宋" w:hAnsi="仿宋" w:eastAsia="仿宋"/>
          <w:sz w:val="32"/>
          <w:szCs w:val="32"/>
        </w:rPr>
        <w:t>5013245</w:t>
      </w:r>
    </w:p>
    <w:p>
      <w:pPr>
        <w:spacing w:line="560" w:lineRule="exact"/>
        <w:ind w:firstLine="1928" w:firstLineChars="600"/>
        <w:jc w:val="both"/>
        <w:rPr>
          <w:rFonts w:ascii="仿宋" w:hAnsi="仿宋" w:eastAsia="仿宋"/>
          <w:sz w:val="32"/>
          <w:szCs w:val="32"/>
        </w:rPr>
      </w:pPr>
      <w:r>
        <w:rPr>
          <w:rFonts w:hint="eastAsia" w:ascii="仿宋" w:hAnsi="仿宋" w:eastAsia="仿宋"/>
          <w:b/>
          <w:sz w:val="32"/>
          <w:szCs w:val="32"/>
        </w:rPr>
        <w:t>办公时间：</w:t>
      </w:r>
      <w:r>
        <w:rPr>
          <w:rFonts w:hint="eastAsia" w:ascii="仿宋" w:hAnsi="仿宋" w:eastAsia="仿宋"/>
          <w:sz w:val="32"/>
          <w:szCs w:val="32"/>
        </w:rPr>
        <w:t>上午8：30至12：00</w:t>
      </w:r>
    </w:p>
    <w:p>
      <w:pPr>
        <w:spacing w:line="560" w:lineRule="exact"/>
        <w:ind w:firstLine="3520" w:firstLineChars="1100"/>
        <w:jc w:val="both"/>
        <w:rPr>
          <w:rFonts w:ascii="仿宋" w:hAnsi="仿宋" w:eastAsia="仿宋"/>
          <w:sz w:val="32"/>
          <w:szCs w:val="32"/>
        </w:rPr>
      </w:pPr>
      <w:r>
        <w:rPr>
          <w:rFonts w:hint="eastAsia" w:ascii="仿宋" w:hAnsi="仿宋" w:eastAsia="仿宋"/>
          <w:sz w:val="32"/>
          <w:szCs w:val="32"/>
        </w:rPr>
        <w:t>下午13：30至17：30</w:t>
      </w:r>
    </w:p>
    <w:p>
      <w:pPr>
        <w:spacing w:line="560" w:lineRule="exact"/>
        <w:ind w:firstLine="1928" w:firstLineChars="600"/>
        <w:jc w:val="both"/>
        <w:rPr>
          <w:rFonts w:ascii="仿宋" w:hAnsi="仿宋" w:eastAsia="仿宋"/>
          <w:b/>
          <w:sz w:val="32"/>
          <w:szCs w:val="32"/>
        </w:rPr>
      </w:pPr>
      <w:r>
        <w:rPr>
          <w:rFonts w:hint="eastAsia" w:ascii="仿宋" w:hAnsi="仿宋" w:eastAsia="仿宋"/>
          <w:b/>
          <w:sz w:val="32"/>
          <w:szCs w:val="32"/>
        </w:rPr>
        <w:t>夏季（6月1日至8月31日）：</w:t>
      </w:r>
    </w:p>
    <w:p>
      <w:pPr>
        <w:spacing w:line="560" w:lineRule="exact"/>
        <w:ind w:firstLine="3520" w:firstLineChars="1100"/>
        <w:jc w:val="both"/>
        <w:rPr>
          <w:rFonts w:ascii="仿宋" w:hAnsi="仿宋" w:eastAsia="仿宋"/>
          <w:sz w:val="32"/>
          <w:szCs w:val="32"/>
        </w:rPr>
      </w:pPr>
      <w:r>
        <w:rPr>
          <w:rFonts w:hint="eastAsia" w:ascii="仿宋" w:hAnsi="仿宋" w:eastAsia="仿宋"/>
          <w:sz w:val="32"/>
          <w:szCs w:val="32"/>
        </w:rPr>
        <w:t>上午8：30至12：00</w:t>
      </w:r>
    </w:p>
    <w:p>
      <w:pPr>
        <w:spacing w:line="560" w:lineRule="exact"/>
        <w:ind w:firstLine="3520" w:firstLineChars="1100"/>
        <w:jc w:val="both"/>
        <w:rPr>
          <w:rFonts w:ascii="仿宋" w:hAnsi="仿宋" w:eastAsia="仿宋"/>
          <w:sz w:val="32"/>
          <w:szCs w:val="32"/>
        </w:rPr>
      </w:pPr>
      <w:r>
        <w:rPr>
          <w:rFonts w:hint="eastAsia" w:ascii="仿宋" w:hAnsi="仿宋" w:eastAsia="仿宋"/>
          <w:sz w:val="32"/>
          <w:szCs w:val="32"/>
        </w:rPr>
        <w:t>下午14：30至17：30</w:t>
      </w:r>
    </w:p>
    <w:p>
      <w:pPr>
        <w:spacing w:line="560" w:lineRule="exact"/>
        <w:jc w:val="center"/>
        <w:rPr>
          <w:rFonts w:ascii="仿宋" w:hAnsi="仿宋" w:eastAsia="仿宋"/>
          <w:sz w:val="32"/>
          <w:szCs w:val="32"/>
        </w:rPr>
      </w:pPr>
    </w:p>
    <w:p>
      <w:pPr>
        <w:spacing w:line="560" w:lineRule="exact"/>
        <w:jc w:val="center"/>
        <w:outlineLvl w:val="0"/>
        <w:rPr>
          <w:rFonts w:hint="eastAsia" w:ascii="宋体" w:hAnsi="宋体" w:eastAsia="宋体"/>
          <w:b/>
          <w:sz w:val="32"/>
          <w:szCs w:val="32"/>
        </w:rPr>
      </w:pPr>
    </w:p>
    <w:p>
      <w:pPr>
        <w:spacing w:line="560" w:lineRule="exact"/>
        <w:jc w:val="center"/>
        <w:outlineLvl w:val="0"/>
        <w:rPr>
          <w:rFonts w:hint="eastAsia" w:ascii="宋体" w:hAnsi="宋体" w:eastAsia="宋体"/>
          <w:b/>
          <w:sz w:val="32"/>
          <w:szCs w:val="32"/>
        </w:rPr>
      </w:pPr>
    </w:p>
    <w:p>
      <w:pPr>
        <w:spacing w:line="560" w:lineRule="exact"/>
        <w:jc w:val="center"/>
        <w:outlineLvl w:val="0"/>
        <w:rPr>
          <w:rFonts w:hint="eastAsia" w:ascii="宋体" w:hAnsi="宋体" w:eastAsia="宋体"/>
          <w:b/>
          <w:sz w:val="32"/>
          <w:szCs w:val="32"/>
        </w:rPr>
      </w:pPr>
    </w:p>
    <w:p>
      <w:pPr>
        <w:spacing w:line="560" w:lineRule="exact"/>
        <w:jc w:val="center"/>
        <w:outlineLvl w:val="0"/>
        <w:rPr>
          <w:rFonts w:hint="eastAsia" w:ascii="宋体" w:hAnsi="宋体" w:eastAsia="宋体"/>
          <w:b/>
          <w:sz w:val="32"/>
          <w:szCs w:val="32"/>
        </w:rPr>
      </w:pPr>
    </w:p>
    <w:p>
      <w:pPr>
        <w:spacing w:line="560" w:lineRule="exact"/>
        <w:jc w:val="center"/>
        <w:outlineLvl w:val="0"/>
        <w:rPr>
          <w:rFonts w:hint="eastAsia" w:ascii="宋体" w:hAnsi="宋体" w:eastAsia="宋体"/>
          <w:b/>
          <w:sz w:val="32"/>
          <w:szCs w:val="32"/>
        </w:rPr>
      </w:pPr>
    </w:p>
    <w:p>
      <w:pPr>
        <w:spacing w:line="560" w:lineRule="exact"/>
        <w:jc w:val="both"/>
        <w:outlineLvl w:val="0"/>
        <w:rPr>
          <w:rFonts w:hint="eastAsia" w:ascii="宋体" w:hAnsi="宋体" w:eastAsia="宋体"/>
          <w:b/>
          <w:sz w:val="32"/>
          <w:szCs w:val="32"/>
        </w:rPr>
      </w:pPr>
    </w:p>
    <w:p>
      <w:pPr>
        <w:spacing w:line="560" w:lineRule="exact"/>
        <w:jc w:val="center"/>
        <w:outlineLvl w:val="0"/>
        <w:rPr>
          <w:rFonts w:ascii="宋体" w:hAnsi="宋体" w:eastAsia="宋体"/>
          <w:b/>
          <w:sz w:val="32"/>
          <w:szCs w:val="32"/>
        </w:rPr>
      </w:pPr>
      <w:bookmarkStart w:id="1" w:name="_Toc19767"/>
      <w:r>
        <w:rPr>
          <w:rFonts w:hint="eastAsia" w:ascii="宋体" w:hAnsi="宋体" w:eastAsia="宋体"/>
          <w:b/>
          <w:sz w:val="32"/>
          <w:szCs w:val="32"/>
        </w:rPr>
        <w:t>第一章 行政处罚服务指南</w:t>
      </w:r>
      <w:bookmarkEnd w:id="1"/>
    </w:p>
    <w:p>
      <w:pPr>
        <w:spacing w:line="560" w:lineRule="exact"/>
        <w:jc w:val="center"/>
        <w:outlineLvl w:val="1"/>
        <w:rPr>
          <w:rFonts w:ascii="楷体" w:hAnsi="楷体" w:eastAsia="楷体"/>
          <w:b/>
          <w:sz w:val="32"/>
          <w:szCs w:val="32"/>
        </w:rPr>
      </w:pPr>
      <w:bookmarkStart w:id="2" w:name="_Toc29576"/>
      <w:r>
        <w:rPr>
          <w:rFonts w:hint="eastAsia" w:ascii="楷体" w:hAnsi="楷体" w:eastAsia="楷体"/>
          <w:b/>
          <w:sz w:val="32"/>
          <w:szCs w:val="32"/>
        </w:rPr>
        <w:t>第一节 适用范围和行政处罚的种类</w:t>
      </w:r>
      <w:bookmarkEnd w:id="2"/>
    </w:p>
    <w:p>
      <w:pPr>
        <w:spacing w:line="560" w:lineRule="exact"/>
        <w:jc w:val="center"/>
        <w:rPr>
          <w:rFonts w:ascii="楷体" w:hAnsi="楷体" w:eastAsia="楷体"/>
          <w:b/>
          <w:sz w:val="32"/>
          <w:szCs w:val="32"/>
        </w:rPr>
      </w:pPr>
    </w:p>
    <w:p>
      <w:pPr>
        <w:spacing w:line="560" w:lineRule="exact"/>
        <w:ind w:firstLine="636"/>
        <w:jc w:val="both"/>
        <w:rPr>
          <w:rFonts w:ascii="黑体" w:hAnsi="黑体" w:eastAsia="黑体"/>
          <w:sz w:val="32"/>
          <w:szCs w:val="32"/>
        </w:rPr>
      </w:pPr>
      <w:r>
        <w:rPr>
          <w:rFonts w:hint="eastAsia" w:ascii="黑体" w:hAnsi="黑体" w:eastAsia="黑体"/>
          <w:sz w:val="32"/>
          <w:szCs w:val="32"/>
        </w:rPr>
        <w:t>一、适用范围</w:t>
      </w:r>
    </w:p>
    <w:p>
      <w:pPr>
        <w:spacing w:line="560" w:lineRule="exact"/>
        <w:ind w:firstLine="636"/>
        <w:jc w:val="both"/>
        <w:rPr>
          <w:rFonts w:ascii="仿宋" w:hAnsi="仿宋" w:eastAsia="仿宋"/>
          <w:sz w:val="32"/>
          <w:szCs w:val="32"/>
        </w:rPr>
      </w:pPr>
      <w:r>
        <w:rPr>
          <w:rFonts w:hint="eastAsia" w:ascii="仿宋" w:hAnsi="仿宋" w:eastAsia="仿宋"/>
          <w:sz w:val="32"/>
          <w:szCs w:val="32"/>
        </w:rPr>
        <w:t>行政处罚服务指南适用于全区安全生产行政执法人员对行政处罚案件的办理和公民、法人以及其他组织依法维护自己的合法权益。</w:t>
      </w:r>
    </w:p>
    <w:p>
      <w:pPr>
        <w:spacing w:line="560" w:lineRule="exact"/>
        <w:ind w:firstLine="636"/>
        <w:jc w:val="both"/>
        <w:rPr>
          <w:rFonts w:ascii="黑体" w:hAnsi="黑体" w:eastAsia="黑体"/>
          <w:sz w:val="32"/>
          <w:szCs w:val="32"/>
        </w:rPr>
      </w:pPr>
      <w:r>
        <w:rPr>
          <w:rFonts w:hint="eastAsia" w:ascii="黑体" w:hAnsi="黑体" w:eastAsia="黑体"/>
          <w:sz w:val="32"/>
          <w:szCs w:val="32"/>
        </w:rPr>
        <w:t>二、行政处罚的种类</w:t>
      </w:r>
    </w:p>
    <w:p>
      <w:pPr>
        <w:spacing w:line="560" w:lineRule="exact"/>
        <w:ind w:firstLine="636"/>
        <w:jc w:val="both"/>
        <w:rPr>
          <w:rFonts w:ascii="仿宋" w:hAnsi="仿宋" w:eastAsia="仿宋"/>
          <w:sz w:val="32"/>
          <w:szCs w:val="32"/>
        </w:rPr>
      </w:pPr>
      <w:r>
        <w:rPr>
          <w:rFonts w:hint="eastAsia" w:ascii="仿宋" w:hAnsi="仿宋" w:eastAsia="仿宋"/>
          <w:sz w:val="32"/>
          <w:szCs w:val="32"/>
        </w:rPr>
        <w:t>安全生产行政处罚的种类共有以下几种类型:</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1、警告。</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2、罚款。</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3、没收违法所得。</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4、责令停产停业整顿、责令停产停业、责令停止建设、责令停止施。</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5、暂扣或者吊销有关许可证，暂停或者撤销有关执业资格、岗位证书。</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6、关闭。</w:t>
      </w:r>
    </w:p>
    <w:p>
      <w:pPr>
        <w:spacing w:line="560" w:lineRule="exact"/>
        <w:ind w:firstLine="636"/>
        <w:jc w:val="both"/>
        <w:rPr>
          <w:rFonts w:ascii="仿宋" w:hAnsi="仿宋" w:eastAsia="仿宋"/>
          <w:sz w:val="32"/>
          <w:szCs w:val="32"/>
        </w:rPr>
      </w:pPr>
      <w:r>
        <w:rPr>
          <w:rFonts w:hint="eastAsia" w:ascii="仿宋" w:hAnsi="仿宋" w:eastAsia="仿宋"/>
          <w:sz w:val="32"/>
          <w:szCs w:val="32"/>
        </w:rPr>
        <w:t>7、拘留。</w:t>
      </w:r>
    </w:p>
    <w:p>
      <w:pPr>
        <w:spacing w:line="560" w:lineRule="exact"/>
        <w:ind w:firstLine="636"/>
        <w:jc w:val="both"/>
        <w:rPr>
          <w:rFonts w:ascii="仿宋" w:hAnsi="仿宋" w:eastAsia="仿宋"/>
          <w:sz w:val="32"/>
          <w:szCs w:val="32"/>
        </w:rPr>
      </w:pPr>
      <w:r>
        <w:rPr>
          <w:rFonts w:hint="eastAsia" w:ascii="仿宋" w:hAnsi="仿宋" w:eastAsia="仿宋"/>
          <w:sz w:val="32"/>
          <w:szCs w:val="32"/>
        </w:rPr>
        <w:t>8、安全生产法律、行政法规规定的其他行政处罚。</w:t>
      </w:r>
    </w:p>
    <w:p>
      <w:pPr>
        <w:spacing w:line="560" w:lineRule="exact"/>
        <w:jc w:val="center"/>
        <w:outlineLvl w:val="1"/>
        <w:rPr>
          <w:rFonts w:ascii="黑体" w:hAnsi="黑体" w:eastAsia="黑体"/>
          <w:sz w:val="32"/>
          <w:szCs w:val="32"/>
        </w:rPr>
      </w:pPr>
      <w:bookmarkStart w:id="3" w:name="_Toc10535"/>
      <w:r>
        <w:rPr>
          <w:rFonts w:hint="eastAsia" w:ascii="楷体" w:hAnsi="楷体" w:eastAsia="楷体"/>
          <w:b/>
          <w:sz w:val="32"/>
          <w:szCs w:val="32"/>
        </w:rPr>
        <w:t>第二节</w:t>
      </w:r>
      <w:r>
        <w:rPr>
          <w:rFonts w:hint="eastAsia" w:ascii="楷体" w:hAnsi="楷体" w:eastAsia="楷体"/>
          <w:b/>
          <w:sz w:val="32"/>
          <w:szCs w:val="32"/>
          <w:lang w:val="en-US" w:eastAsia="zh-CN"/>
        </w:rPr>
        <w:t xml:space="preserve">  </w:t>
      </w:r>
      <w:r>
        <w:rPr>
          <w:rFonts w:hint="eastAsia" w:ascii="楷体" w:hAnsi="楷体" w:eastAsia="楷体"/>
          <w:b/>
          <w:sz w:val="32"/>
          <w:szCs w:val="32"/>
        </w:rPr>
        <w:t>行政处罚依据</w:t>
      </w:r>
      <w:bookmarkEnd w:id="3"/>
    </w:p>
    <w:p>
      <w:pPr>
        <w:spacing w:line="560" w:lineRule="exact"/>
        <w:ind w:firstLine="640" w:firstLineChars="200"/>
        <w:jc w:val="both"/>
        <w:rPr>
          <w:rFonts w:ascii="黑体" w:hAnsi="黑体" w:eastAsia="黑体"/>
          <w:sz w:val="32"/>
          <w:szCs w:val="32"/>
        </w:rPr>
      </w:pPr>
      <w:r>
        <w:rPr>
          <w:rFonts w:hint="eastAsia" w:ascii="黑体" w:hAnsi="黑体" w:eastAsia="黑体"/>
          <w:sz w:val="32"/>
          <w:szCs w:val="32"/>
        </w:rPr>
        <w:t>一、法律</w:t>
      </w:r>
    </w:p>
    <w:p>
      <w:pPr>
        <w:spacing w:line="560" w:lineRule="exact"/>
        <w:ind w:firstLine="640" w:firstLineChars="200"/>
        <w:jc w:val="both"/>
        <w:rPr>
          <w:rFonts w:ascii="仿宋" w:hAnsi="仿宋" w:eastAsia="仿宋"/>
          <w:sz w:val="32"/>
          <w:szCs w:val="32"/>
        </w:rPr>
      </w:pPr>
      <w:r>
        <w:rPr>
          <w:rFonts w:hint="eastAsia" w:ascii="楷体" w:hAnsi="楷体" w:eastAsia="楷体"/>
          <w:sz w:val="32"/>
          <w:szCs w:val="32"/>
        </w:rPr>
        <w:t>（一）</w:t>
      </w:r>
      <w:r>
        <w:rPr>
          <w:rFonts w:hint="eastAsia" w:ascii="仿宋" w:hAnsi="仿宋" w:eastAsia="仿宋"/>
          <w:sz w:val="32"/>
          <w:szCs w:val="32"/>
        </w:rPr>
        <w:t>《</w:t>
      </w:r>
      <w:r>
        <w:rPr>
          <w:rFonts w:hint="eastAsia" w:ascii="仿宋" w:hAnsi="仿宋" w:eastAsia="仿宋"/>
          <w:sz w:val="32"/>
          <w:szCs w:val="32"/>
          <w:lang w:eastAsia="zh-CN"/>
        </w:rPr>
        <w:t>中华人民共和国</w:t>
      </w:r>
      <w:r>
        <w:rPr>
          <w:rFonts w:hint="eastAsia" w:ascii="仿宋" w:hAnsi="仿宋" w:eastAsia="仿宋"/>
          <w:sz w:val="32"/>
          <w:szCs w:val="32"/>
        </w:rPr>
        <w:t>安全生产法》</w:t>
      </w:r>
    </w:p>
    <w:p>
      <w:pPr>
        <w:spacing w:line="560" w:lineRule="exact"/>
        <w:ind w:firstLine="636"/>
        <w:jc w:val="both"/>
        <w:rPr>
          <w:rFonts w:ascii="仿宋" w:hAnsi="仿宋" w:eastAsia="仿宋"/>
          <w:sz w:val="32"/>
          <w:szCs w:val="32"/>
        </w:rPr>
      </w:pPr>
      <w:r>
        <w:rPr>
          <w:rFonts w:hint="eastAsia" w:ascii="楷体" w:hAnsi="楷体" w:eastAsia="楷体"/>
          <w:sz w:val="32"/>
          <w:szCs w:val="32"/>
        </w:rPr>
        <w:t>（三）</w:t>
      </w:r>
      <w:r>
        <w:rPr>
          <w:rFonts w:hint="eastAsia" w:ascii="仿宋" w:hAnsi="仿宋" w:eastAsia="仿宋"/>
          <w:sz w:val="32"/>
          <w:szCs w:val="32"/>
        </w:rPr>
        <w:t>《</w:t>
      </w:r>
      <w:r>
        <w:rPr>
          <w:rFonts w:hint="eastAsia" w:ascii="仿宋" w:hAnsi="仿宋" w:eastAsia="仿宋"/>
          <w:sz w:val="32"/>
          <w:szCs w:val="32"/>
          <w:lang w:eastAsia="zh-CN"/>
        </w:rPr>
        <w:t>中华人民共和国</w:t>
      </w:r>
      <w:r>
        <w:rPr>
          <w:rFonts w:hint="eastAsia" w:ascii="仿宋" w:hAnsi="仿宋" w:eastAsia="仿宋"/>
          <w:sz w:val="32"/>
          <w:szCs w:val="32"/>
        </w:rPr>
        <w:t>矿山安全法》</w:t>
      </w:r>
    </w:p>
    <w:p>
      <w:pPr>
        <w:spacing w:line="560" w:lineRule="exact"/>
        <w:ind w:firstLine="636"/>
        <w:jc w:val="both"/>
        <w:rPr>
          <w:rFonts w:ascii="仿宋" w:hAnsi="仿宋" w:eastAsia="仿宋"/>
          <w:sz w:val="32"/>
          <w:szCs w:val="32"/>
        </w:rPr>
      </w:pPr>
      <w:r>
        <w:rPr>
          <w:rFonts w:hint="eastAsia" w:ascii="楷体" w:hAnsi="楷体" w:eastAsia="楷体"/>
          <w:sz w:val="32"/>
          <w:szCs w:val="32"/>
        </w:rPr>
        <w:t>（三）</w:t>
      </w:r>
      <w:r>
        <w:rPr>
          <w:rFonts w:hint="eastAsia" w:ascii="仿宋" w:hAnsi="仿宋" w:eastAsia="仿宋"/>
          <w:sz w:val="32"/>
          <w:szCs w:val="32"/>
        </w:rPr>
        <w:t>《</w:t>
      </w:r>
      <w:r>
        <w:rPr>
          <w:rFonts w:hint="eastAsia" w:ascii="仿宋" w:hAnsi="仿宋" w:eastAsia="仿宋"/>
          <w:sz w:val="32"/>
          <w:szCs w:val="32"/>
          <w:lang w:eastAsia="zh-CN"/>
        </w:rPr>
        <w:t>中华人民共和国</w:t>
      </w:r>
      <w:r>
        <w:rPr>
          <w:rFonts w:hint="eastAsia" w:ascii="仿宋" w:hAnsi="仿宋" w:eastAsia="仿宋"/>
          <w:sz w:val="32"/>
          <w:szCs w:val="32"/>
        </w:rPr>
        <w:t>煤炭法》（国家主席令第57号）</w:t>
      </w:r>
    </w:p>
    <w:p>
      <w:pPr>
        <w:spacing w:line="560" w:lineRule="exact"/>
        <w:ind w:firstLine="636"/>
        <w:jc w:val="both"/>
        <w:rPr>
          <w:rFonts w:ascii="黑体" w:hAnsi="黑体" w:eastAsia="黑体"/>
          <w:sz w:val="32"/>
          <w:szCs w:val="32"/>
        </w:rPr>
      </w:pPr>
      <w:r>
        <w:rPr>
          <w:rFonts w:hint="eastAsia" w:ascii="黑体" w:hAnsi="黑体" w:eastAsia="黑体"/>
          <w:sz w:val="32"/>
          <w:szCs w:val="32"/>
        </w:rPr>
        <w:t>二、行政法规</w:t>
      </w:r>
    </w:p>
    <w:p>
      <w:pPr>
        <w:spacing w:line="560" w:lineRule="exact"/>
        <w:ind w:firstLine="636"/>
        <w:jc w:val="both"/>
        <w:rPr>
          <w:rFonts w:ascii="仿宋" w:hAnsi="仿宋" w:eastAsia="仿宋"/>
          <w:sz w:val="32"/>
          <w:szCs w:val="32"/>
        </w:rPr>
      </w:pPr>
      <w:r>
        <w:rPr>
          <w:rFonts w:hint="eastAsia" w:ascii="楷体" w:hAnsi="楷体" w:eastAsia="楷体"/>
          <w:sz w:val="32"/>
          <w:szCs w:val="32"/>
        </w:rPr>
        <w:t>（一）</w:t>
      </w:r>
      <w:r>
        <w:rPr>
          <w:rFonts w:hint="eastAsia" w:ascii="仿宋" w:hAnsi="仿宋" w:eastAsia="仿宋"/>
          <w:sz w:val="32"/>
          <w:szCs w:val="32"/>
        </w:rPr>
        <w:t>《矿山安全法实施条例》（</w:t>
      </w:r>
      <w:r>
        <w:rPr>
          <w:rFonts w:ascii="仿宋" w:hAnsi="仿宋" w:eastAsia="仿宋"/>
          <w:sz w:val="32"/>
          <w:szCs w:val="32"/>
        </w:rPr>
        <w:t>劳动部令第4号</w:t>
      </w:r>
      <w:r>
        <w:rPr>
          <w:rFonts w:hint="eastAsia" w:ascii="仿宋" w:hAnsi="仿宋" w:eastAsia="仿宋"/>
          <w:sz w:val="32"/>
          <w:szCs w:val="32"/>
        </w:rPr>
        <w:t>）</w:t>
      </w:r>
    </w:p>
    <w:p>
      <w:pPr>
        <w:spacing w:line="560" w:lineRule="exact"/>
        <w:ind w:firstLine="636"/>
        <w:jc w:val="both"/>
        <w:rPr>
          <w:rFonts w:ascii="楷体" w:hAnsi="楷体" w:eastAsia="楷体"/>
          <w:sz w:val="32"/>
          <w:szCs w:val="32"/>
        </w:rPr>
      </w:pPr>
      <w:r>
        <w:rPr>
          <w:rFonts w:hint="eastAsia" w:ascii="楷体" w:hAnsi="楷体" w:eastAsia="楷体"/>
          <w:sz w:val="32"/>
          <w:szCs w:val="32"/>
        </w:rPr>
        <w:t>（二）</w:t>
      </w:r>
      <w:r>
        <w:rPr>
          <w:rFonts w:hint="eastAsia" w:ascii="仿宋" w:hAnsi="仿宋" w:eastAsia="仿宋"/>
          <w:sz w:val="32"/>
          <w:szCs w:val="32"/>
        </w:rPr>
        <w:t>《国务院关于特大安全事故行政责任追究的规定》（国务院令第302号）</w:t>
      </w:r>
    </w:p>
    <w:p>
      <w:pPr>
        <w:spacing w:line="560" w:lineRule="exact"/>
        <w:ind w:firstLine="636"/>
        <w:jc w:val="both"/>
        <w:rPr>
          <w:rFonts w:ascii="楷体" w:hAnsi="楷体" w:eastAsia="楷体"/>
          <w:sz w:val="32"/>
          <w:szCs w:val="32"/>
        </w:rPr>
      </w:pPr>
      <w:r>
        <w:rPr>
          <w:rFonts w:hint="eastAsia" w:ascii="楷体" w:hAnsi="楷体" w:eastAsia="楷体"/>
          <w:sz w:val="32"/>
          <w:szCs w:val="32"/>
        </w:rPr>
        <w:t>（三）</w:t>
      </w:r>
      <w:r>
        <w:rPr>
          <w:rFonts w:hint="eastAsia" w:ascii="仿宋" w:hAnsi="仿宋" w:eastAsia="仿宋"/>
          <w:sz w:val="32"/>
          <w:szCs w:val="32"/>
        </w:rPr>
        <w:t>《使用有毒物品作业场所劳动保护条例》（国务院令第352号）</w:t>
      </w:r>
    </w:p>
    <w:p>
      <w:pPr>
        <w:spacing w:line="560" w:lineRule="exact"/>
        <w:ind w:firstLine="636"/>
        <w:jc w:val="both"/>
        <w:rPr>
          <w:rFonts w:ascii="仿宋" w:hAnsi="仿宋" w:eastAsia="仿宋"/>
          <w:sz w:val="32"/>
          <w:szCs w:val="32"/>
        </w:rPr>
      </w:pPr>
      <w:r>
        <w:rPr>
          <w:rFonts w:hint="eastAsia" w:ascii="楷体" w:hAnsi="楷体" w:eastAsia="楷体"/>
          <w:sz w:val="32"/>
          <w:szCs w:val="32"/>
        </w:rPr>
        <w:t>（四）</w:t>
      </w:r>
      <w:r>
        <w:rPr>
          <w:rFonts w:hint="eastAsia" w:ascii="仿宋" w:hAnsi="仿宋" w:eastAsia="仿宋"/>
          <w:sz w:val="32"/>
          <w:szCs w:val="32"/>
        </w:rPr>
        <w:t xml:space="preserve">《安全生产许可证条例》（国务院令第397号） </w:t>
      </w:r>
    </w:p>
    <w:p>
      <w:pPr>
        <w:spacing w:line="560" w:lineRule="exact"/>
        <w:ind w:firstLine="636"/>
        <w:jc w:val="both"/>
        <w:rPr>
          <w:rFonts w:ascii="仿宋" w:hAnsi="仿宋" w:eastAsia="仿宋"/>
          <w:sz w:val="32"/>
          <w:szCs w:val="32"/>
        </w:rPr>
      </w:pPr>
      <w:r>
        <w:rPr>
          <w:rFonts w:hint="eastAsia" w:ascii="楷体" w:hAnsi="楷体" w:eastAsia="楷体"/>
          <w:sz w:val="32"/>
          <w:szCs w:val="32"/>
        </w:rPr>
        <w:t>（五）</w:t>
      </w:r>
      <w:r>
        <w:rPr>
          <w:rFonts w:hint="eastAsia" w:ascii="仿宋" w:hAnsi="仿宋" w:eastAsia="仿宋"/>
          <w:sz w:val="32"/>
          <w:szCs w:val="32"/>
        </w:rPr>
        <w:t>《易制毒化学品管理条例》（国务院令第445号）</w:t>
      </w:r>
    </w:p>
    <w:p>
      <w:pPr>
        <w:spacing w:line="560" w:lineRule="exact"/>
        <w:ind w:firstLine="636"/>
        <w:jc w:val="both"/>
        <w:rPr>
          <w:rFonts w:ascii="仿宋" w:hAnsi="仿宋" w:eastAsia="仿宋"/>
          <w:sz w:val="32"/>
          <w:szCs w:val="32"/>
        </w:rPr>
      </w:pPr>
      <w:r>
        <w:rPr>
          <w:rFonts w:hint="eastAsia" w:ascii="楷体" w:hAnsi="楷体" w:eastAsia="楷体"/>
          <w:sz w:val="32"/>
          <w:szCs w:val="32"/>
        </w:rPr>
        <w:t>（六）</w:t>
      </w:r>
      <w:r>
        <w:rPr>
          <w:rFonts w:hint="eastAsia" w:ascii="仿宋" w:hAnsi="仿宋" w:eastAsia="仿宋"/>
          <w:sz w:val="32"/>
          <w:szCs w:val="32"/>
        </w:rPr>
        <w:t>《烟花爆竹安全管理条例》（国务院令第455号）</w:t>
      </w:r>
    </w:p>
    <w:p>
      <w:pPr>
        <w:spacing w:line="560" w:lineRule="exact"/>
        <w:ind w:firstLine="636"/>
        <w:jc w:val="both"/>
        <w:rPr>
          <w:rFonts w:ascii="仿宋" w:hAnsi="仿宋" w:eastAsia="仿宋"/>
          <w:sz w:val="32"/>
          <w:szCs w:val="32"/>
        </w:rPr>
      </w:pPr>
      <w:r>
        <w:rPr>
          <w:rFonts w:hint="eastAsia" w:ascii="楷体" w:hAnsi="楷体" w:eastAsia="楷体"/>
          <w:sz w:val="32"/>
          <w:szCs w:val="32"/>
        </w:rPr>
        <w:t>（七）</w:t>
      </w:r>
      <w:r>
        <w:rPr>
          <w:rFonts w:hint="eastAsia" w:ascii="仿宋" w:hAnsi="仿宋" w:eastAsia="仿宋"/>
          <w:sz w:val="32"/>
          <w:szCs w:val="32"/>
        </w:rPr>
        <w:t>《生产安全事故报告和调查处理条例》（国务院令第493号）</w:t>
      </w:r>
    </w:p>
    <w:p>
      <w:pPr>
        <w:spacing w:line="560" w:lineRule="exact"/>
        <w:ind w:firstLine="636"/>
        <w:jc w:val="both"/>
        <w:rPr>
          <w:rFonts w:ascii="仿宋" w:hAnsi="仿宋" w:eastAsia="仿宋"/>
          <w:sz w:val="32"/>
          <w:szCs w:val="32"/>
        </w:rPr>
      </w:pPr>
      <w:r>
        <w:rPr>
          <w:rFonts w:hint="eastAsia" w:ascii="楷体" w:hAnsi="楷体" w:eastAsia="楷体"/>
          <w:sz w:val="32"/>
          <w:szCs w:val="32"/>
        </w:rPr>
        <w:t>（八）</w:t>
      </w:r>
      <w:r>
        <w:rPr>
          <w:rFonts w:hint="eastAsia" w:ascii="仿宋" w:hAnsi="仿宋" w:eastAsia="仿宋"/>
          <w:sz w:val="32"/>
          <w:szCs w:val="32"/>
        </w:rPr>
        <w:t>《危险化学品安全管理条例》（国务院令第591号）</w:t>
      </w:r>
    </w:p>
    <w:p>
      <w:pPr>
        <w:spacing w:line="560" w:lineRule="exact"/>
        <w:ind w:firstLine="636"/>
        <w:jc w:val="both"/>
        <w:rPr>
          <w:rFonts w:ascii="仿宋" w:hAnsi="仿宋" w:eastAsia="仿宋"/>
          <w:sz w:val="32"/>
          <w:szCs w:val="32"/>
        </w:rPr>
      </w:pPr>
      <w:r>
        <w:rPr>
          <w:rFonts w:hint="eastAsia" w:ascii="楷体" w:hAnsi="楷体" w:eastAsia="楷体"/>
          <w:sz w:val="32"/>
          <w:szCs w:val="32"/>
        </w:rPr>
        <w:t>（九）</w:t>
      </w:r>
      <w:r>
        <w:rPr>
          <w:rFonts w:hint="eastAsia" w:ascii="仿宋" w:hAnsi="仿宋" w:eastAsia="仿宋"/>
          <w:sz w:val="32"/>
          <w:szCs w:val="32"/>
        </w:rPr>
        <w:t>《女职工劳动保护特别规定》（国务院令第691号）</w:t>
      </w:r>
    </w:p>
    <w:p>
      <w:pPr>
        <w:spacing w:line="560" w:lineRule="exact"/>
        <w:ind w:firstLine="636"/>
        <w:jc w:val="both"/>
        <w:rPr>
          <w:rFonts w:ascii="仿宋" w:hAnsi="仿宋" w:eastAsia="仿宋"/>
          <w:sz w:val="32"/>
          <w:szCs w:val="32"/>
        </w:rPr>
      </w:pPr>
      <w:r>
        <w:rPr>
          <w:rFonts w:hint="eastAsia" w:ascii="楷体" w:hAnsi="楷体" w:eastAsia="楷体"/>
          <w:sz w:val="32"/>
          <w:szCs w:val="32"/>
        </w:rPr>
        <w:t>（十）</w:t>
      </w:r>
      <w:r>
        <w:rPr>
          <w:rFonts w:hint="eastAsia" w:ascii="仿宋" w:hAnsi="仿宋" w:eastAsia="仿宋"/>
          <w:sz w:val="32"/>
          <w:szCs w:val="32"/>
        </w:rPr>
        <w:t>《国务院关于预防煤矿生产安全事故的特别规定》（国务院令第446号）</w:t>
      </w:r>
    </w:p>
    <w:p>
      <w:pPr>
        <w:spacing w:line="560" w:lineRule="exact"/>
        <w:ind w:firstLine="636"/>
        <w:jc w:val="both"/>
        <w:rPr>
          <w:rFonts w:ascii="黑体" w:hAnsi="黑体" w:eastAsia="黑体"/>
          <w:sz w:val="32"/>
          <w:szCs w:val="32"/>
        </w:rPr>
      </w:pPr>
      <w:r>
        <w:rPr>
          <w:rFonts w:hint="eastAsia" w:ascii="黑体" w:hAnsi="黑体" w:eastAsia="黑体"/>
          <w:sz w:val="32"/>
          <w:szCs w:val="32"/>
        </w:rPr>
        <w:t>三、地方法规</w:t>
      </w:r>
    </w:p>
    <w:p>
      <w:pPr>
        <w:spacing w:line="560" w:lineRule="exact"/>
        <w:ind w:firstLine="636"/>
        <w:jc w:val="both"/>
        <w:rPr>
          <w:rFonts w:ascii="仿宋" w:hAnsi="仿宋" w:eastAsia="仿宋"/>
          <w:sz w:val="32"/>
          <w:szCs w:val="32"/>
        </w:rPr>
      </w:pPr>
      <w:r>
        <w:rPr>
          <w:rFonts w:hint="eastAsia" w:ascii="楷体" w:hAnsi="楷体" w:eastAsia="楷体"/>
          <w:sz w:val="32"/>
          <w:szCs w:val="32"/>
        </w:rPr>
        <w:t>（一）</w:t>
      </w:r>
      <w:r>
        <w:rPr>
          <w:rFonts w:hint="eastAsia" w:ascii="仿宋" w:hAnsi="仿宋" w:eastAsia="仿宋"/>
          <w:sz w:val="32"/>
          <w:szCs w:val="32"/>
        </w:rPr>
        <w:t>《河北</w:t>
      </w:r>
      <w:r>
        <w:rPr>
          <w:rFonts w:hint="eastAsia" w:ascii="仿宋" w:hAnsi="仿宋" w:eastAsia="仿宋"/>
          <w:sz w:val="32"/>
          <w:szCs w:val="32"/>
          <w:lang w:eastAsia="zh-CN"/>
        </w:rPr>
        <w:t>省</w:t>
      </w:r>
      <w:r>
        <w:rPr>
          <w:rFonts w:hint="eastAsia" w:ascii="仿宋" w:hAnsi="仿宋" w:eastAsia="仿宋"/>
          <w:sz w:val="32"/>
          <w:szCs w:val="32"/>
        </w:rPr>
        <w:t>安全生产条例》（河北省第十二届人民代表大会第五次会议通过) </w:t>
      </w:r>
    </w:p>
    <w:p>
      <w:pPr>
        <w:spacing w:line="560" w:lineRule="exact"/>
        <w:ind w:firstLine="636"/>
        <w:jc w:val="both"/>
        <w:rPr>
          <w:rFonts w:ascii="黑体" w:hAnsi="黑体" w:eastAsia="黑体"/>
          <w:sz w:val="32"/>
          <w:szCs w:val="32"/>
        </w:rPr>
      </w:pPr>
      <w:r>
        <w:rPr>
          <w:rFonts w:hint="eastAsia" w:ascii="黑体" w:hAnsi="黑体" w:eastAsia="黑体"/>
          <w:sz w:val="32"/>
          <w:szCs w:val="32"/>
        </w:rPr>
        <w:t>四、政府规章</w:t>
      </w:r>
    </w:p>
    <w:p>
      <w:pPr>
        <w:spacing w:line="560" w:lineRule="exact"/>
        <w:ind w:firstLine="636"/>
        <w:jc w:val="both"/>
        <w:rPr>
          <w:rFonts w:ascii="仿宋" w:hAnsi="仿宋" w:eastAsia="仿宋"/>
          <w:sz w:val="32"/>
          <w:szCs w:val="32"/>
        </w:rPr>
      </w:pPr>
      <w:r>
        <w:rPr>
          <w:rFonts w:hint="eastAsia" w:ascii="楷体" w:hAnsi="楷体" w:eastAsia="楷体"/>
          <w:sz w:val="32"/>
          <w:szCs w:val="32"/>
        </w:rPr>
        <w:t>（一）</w:t>
      </w:r>
      <w:r>
        <w:rPr>
          <w:rFonts w:hint="eastAsia" w:ascii="仿宋" w:hAnsi="仿宋" w:eastAsia="仿宋"/>
          <w:sz w:val="32"/>
          <w:szCs w:val="32"/>
        </w:rPr>
        <w:t xml:space="preserve">《河北省安全生产违法行为行政处罚规定》（河北省人民政府令[2007]2号）  </w:t>
      </w:r>
    </w:p>
    <w:p>
      <w:pPr>
        <w:spacing w:line="560" w:lineRule="exact"/>
        <w:ind w:firstLine="636"/>
        <w:jc w:val="both"/>
        <w:rPr>
          <w:rFonts w:ascii="仿宋" w:hAnsi="仿宋" w:eastAsia="仿宋"/>
          <w:sz w:val="32"/>
          <w:szCs w:val="32"/>
        </w:rPr>
      </w:pPr>
      <w:r>
        <w:rPr>
          <w:rFonts w:hint="eastAsia" w:ascii="楷体" w:hAnsi="楷体" w:eastAsia="楷体"/>
          <w:sz w:val="32"/>
          <w:szCs w:val="32"/>
        </w:rPr>
        <w:t>（二）</w:t>
      </w:r>
      <w:r>
        <w:rPr>
          <w:rFonts w:hint="eastAsia" w:ascii="仿宋" w:hAnsi="仿宋" w:eastAsia="仿宋"/>
          <w:sz w:val="32"/>
          <w:szCs w:val="32"/>
        </w:rPr>
        <w:t>《河北省冶金企业安全生产监督管理规定》（河北省人民政府令[2011]18号）</w:t>
      </w:r>
    </w:p>
    <w:p>
      <w:pPr>
        <w:spacing w:line="560" w:lineRule="exact"/>
        <w:ind w:firstLine="636"/>
        <w:jc w:val="both"/>
        <w:rPr>
          <w:rFonts w:ascii="仿宋" w:hAnsi="仿宋" w:eastAsia="仿宋"/>
          <w:sz w:val="32"/>
          <w:szCs w:val="32"/>
        </w:rPr>
      </w:pPr>
      <w:r>
        <w:rPr>
          <w:rFonts w:hint="eastAsia" w:ascii="楷体" w:hAnsi="楷体" w:eastAsia="楷体"/>
          <w:sz w:val="32"/>
          <w:szCs w:val="32"/>
        </w:rPr>
        <w:t>（三）</w:t>
      </w:r>
      <w:r>
        <w:rPr>
          <w:rFonts w:hint="eastAsia" w:ascii="仿宋" w:hAnsi="仿宋" w:eastAsia="仿宋"/>
          <w:sz w:val="32"/>
          <w:szCs w:val="32"/>
        </w:rPr>
        <w:t>《河北省重大危险源监督管理规定》（河北省政府令[2009]12号）</w:t>
      </w:r>
    </w:p>
    <w:p>
      <w:pPr>
        <w:spacing w:line="560" w:lineRule="exact"/>
        <w:ind w:firstLine="636"/>
        <w:jc w:val="both"/>
        <w:rPr>
          <w:rFonts w:ascii="仿宋" w:hAnsi="仿宋" w:eastAsia="仿宋"/>
          <w:sz w:val="32"/>
          <w:szCs w:val="32"/>
        </w:rPr>
      </w:pPr>
      <w:r>
        <w:rPr>
          <w:rFonts w:hint="eastAsia" w:ascii="仿宋" w:hAnsi="仿宋" w:eastAsia="仿宋"/>
          <w:sz w:val="32"/>
          <w:szCs w:val="32"/>
        </w:rPr>
        <w:t>（四）《</w:t>
      </w:r>
      <w:r>
        <w:rPr>
          <w:rFonts w:hint="eastAsia" w:ascii="仿宋_GB2312" w:eastAsia="仿宋_GB2312"/>
          <w:color w:val="333333"/>
          <w:spacing w:val="15"/>
          <w:sz w:val="32"/>
          <w:szCs w:val="32"/>
          <w:shd w:val="clear" w:color="auto" w:fill="FFFFFF"/>
        </w:rPr>
        <w:t>河北省安全生产风险管控与隐患治理规定</w:t>
      </w:r>
      <w:r>
        <w:rPr>
          <w:rFonts w:hint="eastAsia" w:ascii="仿宋" w:hAnsi="仿宋" w:eastAsia="仿宋"/>
          <w:sz w:val="32"/>
          <w:szCs w:val="32"/>
        </w:rPr>
        <w:t>》 （河北省</w:t>
      </w:r>
      <w:r>
        <w:rPr>
          <w:rFonts w:ascii="仿宋" w:hAnsi="仿宋" w:eastAsia="仿宋"/>
          <w:sz w:val="32"/>
          <w:szCs w:val="32"/>
        </w:rPr>
        <w:t>政府令</w:t>
      </w:r>
      <w:r>
        <w:rPr>
          <w:rFonts w:hint="eastAsia" w:ascii="仿宋" w:hAnsi="仿宋" w:eastAsia="仿宋"/>
          <w:sz w:val="32"/>
          <w:szCs w:val="32"/>
        </w:rPr>
        <w:t>[2018]第2号）</w:t>
      </w:r>
    </w:p>
    <w:p>
      <w:pPr>
        <w:spacing w:line="560" w:lineRule="exact"/>
        <w:ind w:firstLine="636"/>
        <w:jc w:val="both"/>
        <w:rPr>
          <w:rFonts w:ascii="黑体" w:hAnsi="黑体" w:eastAsia="黑体"/>
          <w:sz w:val="32"/>
          <w:szCs w:val="32"/>
        </w:rPr>
      </w:pPr>
      <w:r>
        <w:rPr>
          <w:rFonts w:hint="eastAsia" w:ascii="黑体" w:hAnsi="黑体" w:eastAsia="黑体"/>
          <w:sz w:val="32"/>
          <w:szCs w:val="32"/>
        </w:rPr>
        <w:t>五、部门规章</w:t>
      </w:r>
    </w:p>
    <w:p>
      <w:pPr>
        <w:spacing w:line="560" w:lineRule="exact"/>
        <w:ind w:firstLine="636"/>
        <w:jc w:val="both"/>
        <w:rPr>
          <w:rFonts w:ascii="仿宋" w:hAnsi="仿宋" w:eastAsia="仿宋"/>
          <w:sz w:val="32"/>
          <w:szCs w:val="32"/>
        </w:rPr>
      </w:pPr>
      <w:r>
        <w:rPr>
          <w:rFonts w:hint="eastAsia" w:ascii="楷体" w:hAnsi="楷体" w:eastAsia="楷体"/>
          <w:sz w:val="32"/>
          <w:szCs w:val="32"/>
        </w:rPr>
        <w:t>（一）</w:t>
      </w:r>
      <w:r>
        <w:rPr>
          <w:rFonts w:hint="eastAsia" w:ascii="仿宋" w:hAnsi="仿宋" w:eastAsia="仿宋"/>
          <w:sz w:val="32"/>
          <w:szCs w:val="32"/>
        </w:rPr>
        <w:t>《生产经营单位安全培训规定》（国家安全监管总局令第3号）</w:t>
      </w:r>
    </w:p>
    <w:p>
      <w:pPr>
        <w:spacing w:line="560" w:lineRule="exact"/>
        <w:ind w:firstLine="636"/>
        <w:jc w:val="both"/>
        <w:rPr>
          <w:rFonts w:ascii="仿宋" w:hAnsi="仿宋" w:eastAsia="仿宋"/>
          <w:sz w:val="32"/>
          <w:szCs w:val="32"/>
        </w:rPr>
      </w:pPr>
      <w:r>
        <w:rPr>
          <w:rFonts w:hint="eastAsia" w:ascii="楷体" w:hAnsi="楷体" w:eastAsia="楷体"/>
          <w:sz w:val="32"/>
          <w:szCs w:val="32"/>
        </w:rPr>
        <w:t>（二）</w:t>
      </w:r>
      <w:r>
        <w:rPr>
          <w:rFonts w:hint="eastAsia" w:ascii="仿宋" w:hAnsi="仿宋" w:eastAsia="仿宋"/>
          <w:sz w:val="32"/>
          <w:szCs w:val="32"/>
        </w:rPr>
        <w:t>《非药品类易制毒化学品生产、经营许可办法》（国家安全监管总局令第5号）</w:t>
      </w:r>
    </w:p>
    <w:p>
      <w:pPr>
        <w:spacing w:line="560" w:lineRule="exact"/>
        <w:ind w:firstLine="636"/>
        <w:jc w:val="both"/>
        <w:rPr>
          <w:rFonts w:ascii="仿宋" w:hAnsi="仿宋" w:eastAsia="仿宋"/>
          <w:sz w:val="32"/>
          <w:szCs w:val="32"/>
        </w:rPr>
      </w:pPr>
      <w:r>
        <w:rPr>
          <w:rFonts w:hint="eastAsia" w:ascii="楷体" w:hAnsi="楷体" w:eastAsia="楷体"/>
          <w:sz w:val="32"/>
          <w:szCs w:val="32"/>
        </w:rPr>
        <w:t>（三）</w:t>
      </w:r>
      <w:r>
        <w:rPr>
          <w:rFonts w:hint="eastAsia" w:ascii="仿宋" w:hAnsi="仿宋" w:eastAsia="仿宋"/>
          <w:sz w:val="32"/>
          <w:szCs w:val="32"/>
        </w:rPr>
        <w:t>《安全生产检测检验机构管理规定》（国家安全监管总局令第12号）</w:t>
      </w:r>
    </w:p>
    <w:p>
      <w:pPr>
        <w:spacing w:line="560" w:lineRule="exact"/>
        <w:ind w:firstLine="636"/>
        <w:jc w:val="both"/>
        <w:rPr>
          <w:rFonts w:ascii="仿宋" w:hAnsi="仿宋" w:eastAsia="仿宋"/>
          <w:sz w:val="32"/>
          <w:szCs w:val="32"/>
        </w:rPr>
      </w:pPr>
      <w:r>
        <w:rPr>
          <w:rFonts w:hint="eastAsia" w:ascii="楷体" w:hAnsi="楷体" w:eastAsia="楷体"/>
          <w:sz w:val="32"/>
          <w:szCs w:val="32"/>
        </w:rPr>
        <w:t>（四）</w:t>
      </w:r>
      <w:r>
        <w:rPr>
          <w:rFonts w:hint="eastAsia" w:ascii="仿宋" w:hAnsi="仿宋" w:eastAsia="仿宋"/>
          <w:sz w:val="32"/>
          <w:szCs w:val="32"/>
        </w:rPr>
        <w:t>《生产安全事故罚款处罚规定（试行）》（国家安全监管总局令第13号）</w:t>
      </w:r>
    </w:p>
    <w:p>
      <w:pPr>
        <w:spacing w:line="560" w:lineRule="exact"/>
        <w:ind w:firstLine="636"/>
        <w:jc w:val="both"/>
        <w:rPr>
          <w:rFonts w:ascii="仿宋" w:hAnsi="仿宋" w:eastAsia="仿宋"/>
          <w:sz w:val="32"/>
          <w:szCs w:val="32"/>
        </w:rPr>
      </w:pPr>
      <w:r>
        <w:rPr>
          <w:rFonts w:hint="eastAsia" w:ascii="楷体" w:hAnsi="楷体" w:eastAsia="楷体"/>
          <w:sz w:val="32"/>
          <w:szCs w:val="32"/>
        </w:rPr>
        <w:t>（五）</w:t>
      </w:r>
      <w:r>
        <w:rPr>
          <w:rFonts w:hint="eastAsia" w:ascii="仿宋" w:hAnsi="仿宋" w:eastAsia="仿宋"/>
          <w:sz w:val="32"/>
          <w:szCs w:val="32"/>
        </w:rPr>
        <w:t>《安全生产违法行为行政处罚办法》（国家安全监管总局令第15号）</w:t>
      </w:r>
    </w:p>
    <w:p>
      <w:pPr>
        <w:spacing w:line="560" w:lineRule="exact"/>
        <w:ind w:firstLine="636"/>
        <w:jc w:val="both"/>
        <w:rPr>
          <w:rFonts w:ascii="仿宋" w:hAnsi="仿宋" w:eastAsia="仿宋"/>
          <w:sz w:val="32"/>
          <w:szCs w:val="32"/>
        </w:rPr>
      </w:pPr>
      <w:r>
        <w:rPr>
          <w:rFonts w:hint="eastAsia" w:ascii="楷体" w:hAnsi="楷体" w:eastAsia="楷体"/>
          <w:sz w:val="32"/>
          <w:szCs w:val="32"/>
        </w:rPr>
        <w:t>（六）</w:t>
      </w:r>
      <w:r>
        <w:rPr>
          <w:rFonts w:hint="eastAsia" w:ascii="仿宋" w:hAnsi="仿宋" w:eastAsia="仿宋"/>
          <w:sz w:val="32"/>
          <w:szCs w:val="32"/>
        </w:rPr>
        <w:t>《安全生产事故隐患排查治理暂行规定》（国家安全监管总局令第16号）</w:t>
      </w:r>
    </w:p>
    <w:p>
      <w:pPr>
        <w:spacing w:line="560" w:lineRule="exact"/>
        <w:ind w:firstLine="636"/>
        <w:jc w:val="both"/>
        <w:rPr>
          <w:rFonts w:hint="eastAsia" w:ascii="仿宋" w:hAnsi="仿宋" w:eastAsia="仿宋"/>
          <w:sz w:val="32"/>
          <w:szCs w:val="32"/>
        </w:rPr>
      </w:pPr>
      <w:r>
        <w:rPr>
          <w:rFonts w:hint="eastAsia" w:ascii="仿宋" w:hAnsi="仿宋" w:eastAsia="仿宋"/>
          <w:sz w:val="32"/>
          <w:szCs w:val="32"/>
        </w:rPr>
        <w:t>（七）《防治煤与瓦斯突出规定》（国家安全监管总局令第19号）</w:t>
      </w:r>
    </w:p>
    <w:p>
      <w:pPr>
        <w:spacing w:line="560" w:lineRule="exact"/>
        <w:ind w:firstLine="636"/>
        <w:jc w:val="both"/>
        <w:rPr>
          <w:rFonts w:ascii="仿宋" w:hAnsi="仿宋" w:eastAsia="仿宋"/>
          <w:sz w:val="32"/>
          <w:szCs w:val="32"/>
        </w:rPr>
      </w:pPr>
      <w:r>
        <w:rPr>
          <w:rFonts w:hint="eastAsia" w:ascii="楷体" w:hAnsi="楷体" w:eastAsia="楷体"/>
          <w:sz w:val="32"/>
          <w:szCs w:val="32"/>
        </w:rPr>
        <w:t>（八）</w:t>
      </w:r>
      <w:r>
        <w:rPr>
          <w:rFonts w:hint="eastAsia" w:ascii="仿宋" w:hAnsi="仿宋" w:eastAsia="仿宋"/>
          <w:sz w:val="32"/>
          <w:szCs w:val="32"/>
        </w:rPr>
        <w:t>《非煤矿矿山企业安全生产许可证实施办法》（国家安全监管总局令第20号）</w:t>
      </w:r>
    </w:p>
    <w:p>
      <w:pPr>
        <w:spacing w:line="560" w:lineRule="exact"/>
        <w:ind w:firstLine="636"/>
        <w:jc w:val="both"/>
        <w:rPr>
          <w:rFonts w:ascii="仿宋" w:hAnsi="仿宋" w:eastAsia="仿宋"/>
          <w:sz w:val="32"/>
          <w:szCs w:val="32"/>
        </w:rPr>
      </w:pPr>
      <w:r>
        <w:rPr>
          <w:rFonts w:hint="eastAsia" w:ascii="楷体" w:hAnsi="楷体" w:eastAsia="楷体"/>
          <w:sz w:val="32"/>
          <w:szCs w:val="32"/>
        </w:rPr>
        <w:t>（九）</w:t>
      </w:r>
      <w:r>
        <w:rPr>
          <w:rFonts w:hint="eastAsia" w:ascii="仿宋" w:hAnsi="仿宋" w:eastAsia="仿宋"/>
          <w:sz w:val="32"/>
          <w:szCs w:val="32"/>
        </w:rPr>
        <w:t>《生产安全事故信息报告和处置办法》（国家安全监管总局令第21号）</w:t>
      </w:r>
    </w:p>
    <w:p>
      <w:pPr>
        <w:spacing w:line="560" w:lineRule="exact"/>
        <w:ind w:firstLine="636"/>
        <w:jc w:val="both"/>
        <w:rPr>
          <w:rFonts w:ascii="仿宋" w:hAnsi="仿宋" w:eastAsia="仿宋"/>
          <w:sz w:val="32"/>
          <w:szCs w:val="32"/>
        </w:rPr>
      </w:pPr>
      <w:r>
        <w:rPr>
          <w:rFonts w:hint="eastAsia" w:ascii="楷体" w:hAnsi="楷体" w:eastAsia="楷体"/>
          <w:sz w:val="32"/>
          <w:szCs w:val="32"/>
        </w:rPr>
        <w:t>（十）</w:t>
      </w:r>
      <w:r>
        <w:rPr>
          <w:rFonts w:hint="eastAsia" w:ascii="仿宋" w:hAnsi="仿宋" w:eastAsia="仿宋"/>
          <w:sz w:val="32"/>
          <w:szCs w:val="32"/>
        </w:rPr>
        <w:t>《安全评价机构管理规定》（国家安全监管总局令第22号）</w:t>
      </w:r>
    </w:p>
    <w:p>
      <w:pPr>
        <w:spacing w:line="560" w:lineRule="exact"/>
        <w:ind w:firstLine="636"/>
        <w:jc w:val="both"/>
        <w:rPr>
          <w:rFonts w:ascii="仿宋" w:hAnsi="仿宋" w:eastAsia="仿宋"/>
          <w:sz w:val="32"/>
          <w:szCs w:val="32"/>
        </w:rPr>
      </w:pPr>
      <w:r>
        <w:rPr>
          <w:rFonts w:hint="eastAsia" w:ascii="楷体" w:hAnsi="楷体" w:eastAsia="楷体"/>
          <w:sz w:val="32"/>
          <w:szCs w:val="32"/>
        </w:rPr>
        <w:t>（十一）</w:t>
      </w:r>
      <w:r>
        <w:rPr>
          <w:rFonts w:hint="eastAsia" w:ascii="仿宋" w:hAnsi="仿宋" w:eastAsia="仿宋"/>
          <w:sz w:val="32"/>
          <w:szCs w:val="32"/>
        </w:rPr>
        <w:t>《冶金企业安全生产监督管理规定》（国家安全监管总局令第26号）</w:t>
      </w:r>
    </w:p>
    <w:p>
      <w:pPr>
        <w:spacing w:line="560" w:lineRule="exact"/>
        <w:ind w:firstLine="636"/>
        <w:jc w:val="both"/>
        <w:rPr>
          <w:rFonts w:ascii="仿宋" w:hAnsi="仿宋" w:eastAsia="仿宋"/>
          <w:sz w:val="32"/>
          <w:szCs w:val="32"/>
        </w:rPr>
      </w:pPr>
      <w:r>
        <w:rPr>
          <w:rFonts w:hint="eastAsia" w:ascii="楷体" w:hAnsi="楷体" w:eastAsia="楷体"/>
          <w:sz w:val="32"/>
          <w:szCs w:val="32"/>
        </w:rPr>
        <w:t>（十</w:t>
      </w:r>
      <w:r>
        <w:rPr>
          <w:rFonts w:hint="eastAsia" w:ascii="楷体" w:hAnsi="楷体" w:eastAsia="楷体"/>
          <w:sz w:val="32"/>
          <w:szCs w:val="32"/>
          <w:lang w:eastAsia="zh-CN"/>
        </w:rPr>
        <w:t>二</w:t>
      </w:r>
      <w:r>
        <w:rPr>
          <w:rFonts w:hint="eastAsia" w:ascii="楷体" w:hAnsi="楷体" w:eastAsia="楷体"/>
          <w:sz w:val="32"/>
          <w:szCs w:val="32"/>
        </w:rPr>
        <w:t>）</w:t>
      </w:r>
      <w:r>
        <w:rPr>
          <w:rFonts w:hint="eastAsia" w:ascii="仿宋" w:hAnsi="仿宋" w:eastAsia="仿宋"/>
          <w:sz w:val="32"/>
          <w:szCs w:val="32"/>
        </w:rPr>
        <w:t>《特种作业人员安全技术培训考核管理规定》（国家安全监管总局令第30号）</w:t>
      </w:r>
    </w:p>
    <w:p>
      <w:pPr>
        <w:spacing w:line="560" w:lineRule="exact"/>
        <w:ind w:firstLine="636"/>
        <w:jc w:val="both"/>
        <w:rPr>
          <w:rFonts w:ascii="仿宋" w:hAnsi="仿宋" w:eastAsia="仿宋"/>
          <w:sz w:val="32"/>
          <w:szCs w:val="32"/>
        </w:rPr>
      </w:pPr>
      <w:r>
        <w:rPr>
          <w:rFonts w:hint="eastAsia" w:ascii="楷体" w:hAnsi="楷体" w:eastAsia="楷体"/>
          <w:sz w:val="32"/>
          <w:szCs w:val="32"/>
        </w:rPr>
        <w:t>（十</w:t>
      </w:r>
      <w:r>
        <w:rPr>
          <w:rFonts w:hint="eastAsia" w:ascii="楷体" w:hAnsi="楷体" w:eastAsia="楷体"/>
          <w:sz w:val="32"/>
          <w:szCs w:val="32"/>
          <w:lang w:eastAsia="zh-CN"/>
        </w:rPr>
        <w:t>三</w:t>
      </w:r>
      <w:r>
        <w:rPr>
          <w:rFonts w:hint="eastAsia" w:ascii="楷体" w:hAnsi="楷体" w:eastAsia="楷体"/>
          <w:sz w:val="32"/>
          <w:szCs w:val="32"/>
        </w:rPr>
        <w:t>）</w:t>
      </w:r>
      <w:r>
        <w:rPr>
          <w:rFonts w:hint="eastAsia" w:ascii="仿宋" w:hAnsi="仿宋" w:eastAsia="仿宋"/>
          <w:sz w:val="32"/>
          <w:szCs w:val="32"/>
        </w:rPr>
        <w:t>《安全生产行政处罚自由裁量适用规则（试行）》（国家安全监管总局令第31号）</w:t>
      </w:r>
    </w:p>
    <w:p>
      <w:pPr>
        <w:spacing w:line="560" w:lineRule="exact"/>
        <w:ind w:firstLine="636"/>
        <w:jc w:val="both"/>
        <w:rPr>
          <w:rFonts w:ascii="仿宋" w:hAnsi="仿宋" w:eastAsia="仿宋"/>
          <w:sz w:val="32"/>
          <w:szCs w:val="32"/>
        </w:rPr>
      </w:pPr>
      <w:r>
        <w:rPr>
          <w:rFonts w:hint="eastAsia" w:ascii="楷体" w:hAnsi="楷体" w:eastAsia="楷体"/>
          <w:sz w:val="32"/>
          <w:szCs w:val="32"/>
        </w:rPr>
        <w:t>（十</w:t>
      </w:r>
      <w:r>
        <w:rPr>
          <w:rFonts w:hint="eastAsia" w:ascii="楷体" w:hAnsi="楷体" w:eastAsia="楷体"/>
          <w:sz w:val="32"/>
          <w:szCs w:val="32"/>
          <w:lang w:eastAsia="zh-CN"/>
        </w:rPr>
        <w:t>四</w:t>
      </w:r>
      <w:r>
        <w:rPr>
          <w:rFonts w:hint="eastAsia" w:ascii="楷体" w:hAnsi="楷体" w:eastAsia="楷体"/>
          <w:sz w:val="32"/>
          <w:szCs w:val="32"/>
        </w:rPr>
        <w:t>）</w:t>
      </w:r>
      <w:r>
        <w:rPr>
          <w:rFonts w:hint="eastAsia" w:ascii="仿宋" w:hAnsi="仿宋" w:eastAsia="仿宋"/>
          <w:sz w:val="32"/>
          <w:szCs w:val="32"/>
        </w:rPr>
        <w:t>《金属非金属矿产资源地质勘探安全生产监督管理暂行规定》（国家安全监管总局令第35号）</w:t>
      </w:r>
    </w:p>
    <w:p>
      <w:pPr>
        <w:spacing w:line="560" w:lineRule="exact"/>
        <w:ind w:firstLine="636"/>
        <w:jc w:val="both"/>
        <w:rPr>
          <w:rFonts w:ascii="仿宋" w:hAnsi="仿宋" w:eastAsia="仿宋"/>
          <w:color w:val="FF0000"/>
          <w:sz w:val="32"/>
          <w:szCs w:val="32"/>
        </w:rPr>
      </w:pPr>
      <w:r>
        <w:rPr>
          <w:rFonts w:hint="eastAsia" w:ascii="楷体" w:hAnsi="楷体" w:eastAsia="楷体"/>
          <w:sz w:val="32"/>
          <w:szCs w:val="32"/>
        </w:rPr>
        <w:t>（十</w:t>
      </w:r>
      <w:r>
        <w:rPr>
          <w:rFonts w:hint="eastAsia" w:ascii="楷体" w:hAnsi="楷体" w:eastAsia="楷体"/>
          <w:sz w:val="32"/>
          <w:szCs w:val="32"/>
          <w:lang w:eastAsia="zh-CN"/>
        </w:rPr>
        <w:t>五</w:t>
      </w:r>
      <w:r>
        <w:rPr>
          <w:rFonts w:hint="eastAsia" w:ascii="楷体" w:hAnsi="楷体" w:eastAsia="楷体"/>
          <w:sz w:val="32"/>
          <w:szCs w:val="32"/>
        </w:rPr>
        <w:t>）</w:t>
      </w:r>
      <w:r>
        <w:rPr>
          <w:rFonts w:hint="eastAsia" w:ascii="仿宋" w:hAnsi="仿宋" w:eastAsia="仿宋"/>
          <w:sz w:val="32"/>
          <w:szCs w:val="32"/>
        </w:rPr>
        <w:t>《建设项目安全设施“三同时”监督管理办法》（国家安全监管总局令第36号）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十六</w:t>
      </w:r>
      <w:r>
        <w:rPr>
          <w:rFonts w:hint="eastAsia" w:ascii="楷体" w:hAnsi="楷体" w:eastAsia="楷体"/>
          <w:sz w:val="32"/>
          <w:szCs w:val="32"/>
        </w:rPr>
        <w:t>）</w:t>
      </w:r>
      <w:r>
        <w:rPr>
          <w:rFonts w:hint="eastAsia" w:ascii="仿宋" w:hAnsi="仿宋" w:eastAsia="仿宋"/>
          <w:sz w:val="32"/>
          <w:szCs w:val="32"/>
        </w:rPr>
        <w:t>《危险化学品重大危险源监督管理暂行规定》（国家安全监管总局令第40号）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十七</w:t>
      </w:r>
      <w:r>
        <w:rPr>
          <w:rFonts w:hint="eastAsia" w:ascii="楷体" w:hAnsi="楷体" w:eastAsia="楷体"/>
          <w:sz w:val="32"/>
          <w:szCs w:val="32"/>
        </w:rPr>
        <w:t>）</w:t>
      </w:r>
      <w:r>
        <w:rPr>
          <w:rFonts w:hint="eastAsia" w:ascii="仿宋" w:hAnsi="仿宋" w:eastAsia="仿宋"/>
          <w:sz w:val="32"/>
          <w:szCs w:val="32"/>
        </w:rPr>
        <w:t>《危险化学品生产企业安全生产许可证实施办法》（国家安全监管总局令第41号）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十八</w:t>
      </w:r>
      <w:r>
        <w:rPr>
          <w:rFonts w:hint="eastAsia" w:ascii="楷体" w:hAnsi="楷体" w:eastAsia="楷体"/>
          <w:sz w:val="32"/>
          <w:szCs w:val="32"/>
        </w:rPr>
        <w:t>）</w:t>
      </w:r>
      <w:r>
        <w:rPr>
          <w:rFonts w:hint="eastAsia" w:ascii="仿宋" w:hAnsi="仿宋" w:eastAsia="仿宋"/>
          <w:sz w:val="32"/>
          <w:szCs w:val="32"/>
        </w:rPr>
        <w:t>《危险化学品输送管道安全管理规定》（国家安全监管总局令第43号）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十九</w:t>
      </w:r>
      <w:r>
        <w:rPr>
          <w:rFonts w:hint="eastAsia" w:ascii="楷体" w:hAnsi="楷体" w:eastAsia="楷体"/>
          <w:sz w:val="32"/>
          <w:szCs w:val="32"/>
        </w:rPr>
        <w:t>）</w:t>
      </w:r>
      <w:r>
        <w:rPr>
          <w:rFonts w:hint="eastAsia" w:ascii="仿宋" w:hAnsi="仿宋" w:eastAsia="仿宋"/>
          <w:sz w:val="32"/>
          <w:szCs w:val="32"/>
        </w:rPr>
        <w:t>《安全生产培训管理办法》（国家安全监管总局令第44号）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二十</w:t>
      </w:r>
      <w:r>
        <w:rPr>
          <w:rFonts w:hint="eastAsia" w:ascii="楷体" w:hAnsi="楷体" w:eastAsia="楷体"/>
          <w:sz w:val="32"/>
          <w:szCs w:val="32"/>
        </w:rPr>
        <w:t>）</w:t>
      </w:r>
      <w:r>
        <w:rPr>
          <w:rFonts w:hint="eastAsia" w:ascii="仿宋" w:hAnsi="仿宋" w:eastAsia="仿宋"/>
          <w:sz w:val="32"/>
          <w:szCs w:val="32"/>
        </w:rPr>
        <w:t>《危险化学品建设项目安全监督管理办法》（国家安全监管总局令第45号）</w:t>
      </w:r>
    </w:p>
    <w:p>
      <w:pPr>
        <w:spacing w:line="560" w:lineRule="exact"/>
        <w:ind w:firstLine="636"/>
        <w:jc w:val="both"/>
        <w:rPr>
          <w:rFonts w:ascii="仿宋" w:hAnsi="仿宋" w:eastAsia="仿宋"/>
          <w:sz w:val="32"/>
          <w:szCs w:val="32"/>
        </w:rPr>
      </w:pPr>
      <w:r>
        <w:rPr>
          <w:rFonts w:hint="eastAsia" w:ascii="楷体" w:hAnsi="楷体" w:eastAsia="楷体"/>
          <w:sz w:val="32"/>
          <w:szCs w:val="32"/>
        </w:rPr>
        <w:t>（二十</w:t>
      </w:r>
      <w:r>
        <w:rPr>
          <w:rFonts w:hint="eastAsia" w:ascii="楷体" w:hAnsi="楷体" w:eastAsia="楷体"/>
          <w:sz w:val="32"/>
          <w:szCs w:val="32"/>
          <w:lang w:eastAsia="zh-CN"/>
        </w:rPr>
        <w:t>一</w:t>
      </w:r>
      <w:r>
        <w:rPr>
          <w:rFonts w:hint="eastAsia" w:ascii="楷体" w:hAnsi="楷体" w:eastAsia="楷体"/>
          <w:sz w:val="32"/>
          <w:szCs w:val="32"/>
        </w:rPr>
        <w:t>）</w:t>
      </w:r>
      <w:r>
        <w:rPr>
          <w:rFonts w:hint="eastAsia" w:ascii="仿宋" w:hAnsi="仿宋" w:eastAsia="仿宋"/>
          <w:sz w:val="32"/>
          <w:szCs w:val="32"/>
        </w:rPr>
        <w:t>《煤矿安全培训规定》（国家安全监管总局令第52号）</w:t>
      </w:r>
    </w:p>
    <w:p>
      <w:pPr>
        <w:spacing w:line="560" w:lineRule="exact"/>
        <w:ind w:firstLine="636"/>
        <w:jc w:val="both"/>
        <w:rPr>
          <w:rFonts w:ascii="仿宋" w:hAnsi="仿宋" w:eastAsia="仿宋"/>
          <w:sz w:val="32"/>
          <w:szCs w:val="32"/>
        </w:rPr>
      </w:pPr>
      <w:r>
        <w:rPr>
          <w:rFonts w:hint="eastAsia" w:ascii="楷体" w:hAnsi="楷体" w:eastAsia="楷体"/>
          <w:sz w:val="32"/>
          <w:szCs w:val="32"/>
        </w:rPr>
        <w:t>（二十</w:t>
      </w:r>
      <w:r>
        <w:rPr>
          <w:rFonts w:hint="eastAsia" w:ascii="楷体" w:hAnsi="楷体" w:eastAsia="楷体"/>
          <w:sz w:val="32"/>
          <w:szCs w:val="32"/>
          <w:lang w:eastAsia="zh-CN"/>
        </w:rPr>
        <w:t>二</w:t>
      </w:r>
      <w:r>
        <w:rPr>
          <w:rFonts w:hint="eastAsia" w:ascii="楷体" w:hAnsi="楷体" w:eastAsia="楷体"/>
          <w:sz w:val="32"/>
          <w:szCs w:val="32"/>
        </w:rPr>
        <w:t>）</w:t>
      </w:r>
      <w:r>
        <w:rPr>
          <w:rFonts w:hint="eastAsia" w:ascii="仿宋" w:hAnsi="仿宋" w:eastAsia="仿宋"/>
          <w:sz w:val="32"/>
          <w:szCs w:val="32"/>
        </w:rPr>
        <w:t>《危险化学品登记管理办法》（国家安全监管总局令第53号）</w:t>
      </w:r>
    </w:p>
    <w:p>
      <w:pPr>
        <w:spacing w:line="560" w:lineRule="exact"/>
        <w:ind w:firstLine="636"/>
        <w:jc w:val="both"/>
        <w:rPr>
          <w:rFonts w:ascii="仿宋" w:hAnsi="仿宋" w:eastAsia="仿宋"/>
          <w:sz w:val="32"/>
          <w:szCs w:val="32"/>
        </w:rPr>
      </w:pPr>
      <w:r>
        <w:rPr>
          <w:rFonts w:hint="eastAsia" w:ascii="楷体" w:hAnsi="楷体" w:eastAsia="楷体"/>
          <w:sz w:val="32"/>
          <w:szCs w:val="32"/>
        </w:rPr>
        <w:t>（二十</w:t>
      </w:r>
      <w:r>
        <w:rPr>
          <w:rFonts w:hint="eastAsia" w:ascii="楷体" w:hAnsi="楷体" w:eastAsia="楷体"/>
          <w:sz w:val="32"/>
          <w:szCs w:val="32"/>
          <w:lang w:eastAsia="zh-CN"/>
        </w:rPr>
        <w:t>三</w:t>
      </w:r>
      <w:r>
        <w:rPr>
          <w:rFonts w:hint="eastAsia" w:ascii="楷体" w:hAnsi="楷体" w:eastAsia="楷体"/>
          <w:sz w:val="32"/>
          <w:szCs w:val="32"/>
        </w:rPr>
        <w:t>）</w:t>
      </w:r>
      <w:r>
        <w:rPr>
          <w:rFonts w:hint="eastAsia" w:ascii="仿宋" w:hAnsi="仿宋" w:eastAsia="仿宋"/>
          <w:sz w:val="32"/>
          <w:szCs w:val="32"/>
        </w:rPr>
        <w:t>《烟花爆竹生产企业安全生产许可证实施办法》（国家安全监管总局令第54号）</w:t>
      </w:r>
    </w:p>
    <w:p>
      <w:pPr>
        <w:spacing w:line="560" w:lineRule="exact"/>
        <w:ind w:firstLine="636"/>
        <w:jc w:val="both"/>
        <w:rPr>
          <w:rFonts w:ascii="仿宋" w:hAnsi="仿宋" w:eastAsia="仿宋"/>
          <w:sz w:val="32"/>
          <w:szCs w:val="32"/>
        </w:rPr>
      </w:pPr>
      <w:r>
        <w:rPr>
          <w:rFonts w:hint="eastAsia" w:ascii="楷体" w:hAnsi="楷体" w:eastAsia="楷体"/>
          <w:sz w:val="32"/>
          <w:szCs w:val="32"/>
        </w:rPr>
        <w:t>（二十</w:t>
      </w:r>
      <w:r>
        <w:rPr>
          <w:rFonts w:hint="eastAsia" w:ascii="楷体" w:hAnsi="楷体" w:eastAsia="楷体"/>
          <w:sz w:val="32"/>
          <w:szCs w:val="32"/>
          <w:lang w:eastAsia="zh-CN"/>
        </w:rPr>
        <w:t>四</w:t>
      </w:r>
      <w:r>
        <w:rPr>
          <w:rFonts w:hint="eastAsia" w:ascii="楷体" w:hAnsi="楷体" w:eastAsia="楷体"/>
          <w:sz w:val="32"/>
          <w:szCs w:val="32"/>
        </w:rPr>
        <w:t>）</w:t>
      </w:r>
      <w:r>
        <w:rPr>
          <w:rFonts w:hint="eastAsia" w:ascii="仿宋" w:hAnsi="仿宋" w:eastAsia="仿宋"/>
          <w:sz w:val="32"/>
          <w:szCs w:val="32"/>
        </w:rPr>
        <w:t>《危险化学品经营许可证管理办法》（国家安全监管总局令第55号）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二十五</w:t>
      </w:r>
      <w:r>
        <w:rPr>
          <w:rFonts w:hint="eastAsia" w:ascii="楷体" w:hAnsi="楷体" w:eastAsia="楷体"/>
          <w:sz w:val="32"/>
          <w:szCs w:val="32"/>
        </w:rPr>
        <w:t>）</w:t>
      </w:r>
      <w:r>
        <w:rPr>
          <w:rFonts w:hint="eastAsia" w:ascii="仿宋" w:hAnsi="仿宋" w:eastAsia="仿宋"/>
          <w:sz w:val="32"/>
          <w:szCs w:val="32"/>
        </w:rPr>
        <w:t>《危险化学品安全使用许可证实施办法》（国家安全监管总局令第57号）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二十六</w:t>
      </w:r>
      <w:r>
        <w:rPr>
          <w:rFonts w:hint="eastAsia" w:ascii="楷体" w:hAnsi="楷体" w:eastAsia="楷体"/>
          <w:sz w:val="32"/>
          <w:szCs w:val="32"/>
        </w:rPr>
        <w:t>）</w:t>
      </w:r>
      <w:r>
        <w:rPr>
          <w:rFonts w:hint="eastAsia" w:ascii="仿宋" w:hAnsi="仿宋" w:eastAsia="仿宋"/>
          <w:sz w:val="32"/>
          <w:szCs w:val="32"/>
        </w:rPr>
        <w:t>《工贸企业有限空间作业安全管理与监督暂行规定》（国家安全监管总局令第59号）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二十七</w:t>
      </w:r>
      <w:r>
        <w:rPr>
          <w:rFonts w:hint="eastAsia" w:ascii="楷体" w:hAnsi="楷体" w:eastAsia="楷体"/>
          <w:sz w:val="32"/>
          <w:szCs w:val="32"/>
        </w:rPr>
        <w:t>）</w:t>
      </w:r>
      <w:r>
        <w:rPr>
          <w:rFonts w:hint="eastAsia" w:ascii="仿宋" w:hAnsi="仿宋" w:eastAsia="仿宋"/>
          <w:sz w:val="32"/>
          <w:szCs w:val="32"/>
        </w:rPr>
        <w:t>《化学品物理危险性鉴定与分类管理办法》（国家安全监管总局令第60号）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二十八</w:t>
      </w:r>
      <w:r>
        <w:rPr>
          <w:rFonts w:hint="eastAsia" w:ascii="楷体" w:hAnsi="楷体" w:eastAsia="楷体"/>
          <w:sz w:val="32"/>
          <w:szCs w:val="32"/>
        </w:rPr>
        <w:t>）</w:t>
      </w:r>
      <w:r>
        <w:rPr>
          <w:rFonts w:hint="eastAsia" w:ascii="仿宋" w:hAnsi="仿宋" w:eastAsia="仿宋"/>
          <w:sz w:val="32"/>
          <w:szCs w:val="32"/>
        </w:rPr>
        <w:t>《非煤矿山外包工程安全管理暂行办法》（国家安全监管总局令第62号）</w:t>
      </w:r>
    </w:p>
    <w:p>
      <w:pPr>
        <w:spacing w:line="560" w:lineRule="exact"/>
        <w:ind w:firstLine="636"/>
        <w:jc w:val="both"/>
        <w:rPr>
          <w:rFonts w:ascii="仿宋" w:hAnsi="仿宋" w:eastAsia="仿宋"/>
          <w:sz w:val="32"/>
          <w:szCs w:val="32"/>
        </w:rPr>
      </w:pPr>
      <w:r>
        <w:rPr>
          <w:rFonts w:hint="eastAsia" w:ascii="楷体" w:hAnsi="楷体" w:eastAsia="楷体"/>
          <w:sz w:val="32"/>
          <w:szCs w:val="32"/>
        </w:rPr>
        <w:t>（</w:t>
      </w:r>
      <w:r>
        <w:rPr>
          <w:rFonts w:hint="eastAsia" w:ascii="楷体" w:hAnsi="楷体" w:eastAsia="楷体"/>
          <w:sz w:val="32"/>
          <w:szCs w:val="32"/>
          <w:lang w:eastAsia="zh-CN"/>
        </w:rPr>
        <w:t>二十九</w:t>
      </w:r>
      <w:r>
        <w:rPr>
          <w:rFonts w:hint="eastAsia" w:ascii="楷体" w:hAnsi="楷体" w:eastAsia="楷体"/>
          <w:sz w:val="32"/>
          <w:szCs w:val="32"/>
        </w:rPr>
        <w:t>）</w:t>
      </w:r>
      <w:r>
        <w:rPr>
          <w:rFonts w:hint="eastAsia" w:ascii="仿宋" w:hAnsi="仿宋" w:eastAsia="仿宋"/>
          <w:sz w:val="32"/>
          <w:szCs w:val="32"/>
        </w:rPr>
        <w:t>《烟花爆竹经营许可实施办法》（国家安全监管总局令第65号）</w:t>
      </w:r>
    </w:p>
    <w:p>
      <w:pPr>
        <w:spacing w:line="560" w:lineRule="exact"/>
        <w:ind w:firstLine="636"/>
        <w:jc w:val="both"/>
        <w:rPr>
          <w:rFonts w:ascii="仿宋" w:hAnsi="仿宋" w:eastAsia="仿宋"/>
          <w:sz w:val="32"/>
          <w:szCs w:val="32"/>
        </w:rPr>
      </w:pPr>
      <w:r>
        <w:rPr>
          <w:rFonts w:hint="eastAsia" w:ascii="楷体" w:hAnsi="楷体" w:eastAsia="楷体"/>
          <w:sz w:val="32"/>
          <w:szCs w:val="32"/>
        </w:rPr>
        <w:t>（三十）</w:t>
      </w:r>
      <w:r>
        <w:rPr>
          <w:rFonts w:hint="eastAsia" w:ascii="仿宋" w:hAnsi="仿宋" w:eastAsia="仿宋"/>
          <w:sz w:val="32"/>
          <w:szCs w:val="32"/>
        </w:rPr>
        <w:t>《食品生产企业安全生产监督管理暂行规定》（国家安全监管总局令第66号）</w:t>
      </w:r>
    </w:p>
    <w:p>
      <w:pPr>
        <w:spacing w:line="560" w:lineRule="exact"/>
        <w:ind w:firstLine="636"/>
        <w:jc w:val="both"/>
        <w:rPr>
          <w:rFonts w:ascii="仿宋" w:hAnsi="仿宋" w:eastAsia="仿宋"/>
          <w:sz w:val="32"/>
          <w:szCs w:val="32"/>
        </w:rPr>
      </w:pPr>
      <w:r>
        <w:rPr>
          <w:rFonts w:hint="eastAsia" w:ascii="楷体" w:hAnsi="楷体" w:eastAsia="楷体"/>
          <w:sz w:val="32"/>
          <w:szCs w:val="32"/>
        </w:rPr>
        <w:t>（三十</w:t>
      </w:r>
      <w:r>
        <w:rPr>
          <w:rFonts w:hint="eastAsia" w:ascii="楷体" w:hAnsi="楷体" w:eastAsia="楷体"/>
          <w:sz w:val="32"/>
          <w:szCs w:val="32"/>
          <w:lang w:eastAsia="zh-CN"/>
        </w:rPr>
        <w:t>一</w:t>
      </w:r>
      <w:r>
        <w:rPr>
          <w:rFonts w:hint="eastAsia" w:ascii="楷体" w:hAnsi="楷体" w:eastAsia="楷体"/>
          <w:sz w:val="32"/>
          <w:szCs w:val="32"/>
        </w:rPr>
        <w:t>）</w:t>
      </w:r>
      <w:r>
        <w:rPr>
          <w:rFonts w:hint="eastAsia" w:ascii="仿宋" w:hAnsi="仿宋" w:eastAsia="仿宋"/>
          <w:sz w:val="32"/>
          <w:szCs w:val="32"/>
        </w:rPr>
        <w:t>《生产安全事故应急预案管理办法》（国家安全监管总局令第88号）</w:t>
      </w:r>
    </w:p>
    <w:p>
      <w:pPr>
        <w:spacing w:line="560" w:lineRule="exact"/>
        <w:jc w:val="center"/>
        <w:outlineLvl w:val="1"/>
        <w:rPr>
          <w:rFonts w:ascii="楷体" w:hAnsi="楷体" w:eastAsia="楷体"/>
          <w:b/>
          <w:sz w:val="32"/>
          <w:szCs w:val="32"/>
        </w:rPr>
      </w:pPr>
      <w:bookmarkStart w:id="4" w:name="_Toc8130"/>
      <w:r>
        <w:rPr>
          <w:rFonts w:hint="eastAsia" w:ascii="黑体" w:hAnsi="黑体" w:eastAsia="黑体"/>
          <w:sz w:val="32"/>
          <w:szCs w:val="32"/>
        </w:rPr>
        <w:t>第</w:t>
      </w:r>
      <w:r>
        <w:rPr>
          <w:rFonts w:hint="eastAsia" w:ascii="楷体" w:hAnsi="楷体" w:eastAsia="楷体"/>
          <w:b/>
          <w:sz w:val="32"/>
          <w:szCs w:val="32"/>
        </w:rPr>
        <w:t>三节  执法主体和承办机构</w:t>
      </w:r>
      <w:bookmarkEnd w:id="4"/>
    </w:p>
    <w:p>
      <w:pPr>
        <w:spacing w:line="560" w:lineRule="exact"/>
        <w:ind w:firstLine="636"/>
        <w:jc w:val="both"/>
        <w:rPr>
          <w:rFonts w:ascii="仿宋" w:hAnsi="仿宋" w:eastAsia="仿宋"/>
          <w:sz w:val="32"/>
          <w:szCs w:val="32"/>
        </w:rPr>
      </w:pPr>
      <w:r>
        <w:rPr>
          <w:rFonts w:hint="eastAsia" w:ascii="仿宋" w:hAnsi="仿宋" w:eastAsia="仿宋"/>
          <w:sz w:val="32"/>
          <w:szCs w:val="32"/>
        </w:rPr>
        <w:t>根据《</w:t>
      </w:r>
      <w:r>
        <w:rPr>
          <w:rFonts w:hint="eastAsia" w:ascii="仿宋" w:hAnsi="仿宋" w:eastAsia="仿宋"/>
          <w:sz w:val="32"/>
          <w:szCs w:val="32"/>
          <w:lang w:eastAsia="zh-CN"/>
        </w:rPr>
        <w:t>中华人民共和国</w:t>
      </w:r>
      <w:r>
        <w:rPr>
          <w:rFonts w:hint="eastAsia" w:ascii="仿宋" w:hAnsi="仿宋" w:eastAsia="仿宋"/>
          <w:sz w:val="32"/>
          <w:szCs w:val="32"/>
        </w:rPr>
        <w:t>安全生产法》第六十二条之规定，峰峰矿区应急管理局为峰峰矿区安全生产行政处罚机关。根据峰峰矿区人民政府办公室《关于印发峰峰矿区应急管理局主要职责内设机构和人员编制规定的通知》的规定，区应急管理局内设的为承办机构。</w:t>
      </w:r>
    </w:p>
    <w:p>
      <w:pPr>
        <w:spacing w:line="560" w:lineRule="exact"/>
        <w:jc w:val="center"/>
        <w:outlineLvl w:val="1"/>
        <w:rPr>
          <w:rFonts w:ascii="楷体" w:hAnsi="楷体" w:eastAsia="楷体"/>
          <w:b/>
          <w:sz w:val="32"/>
          <w:szCs w:val="32"/>
        </w:rPr>
      </w:pPr>
      <w:bookmarkStart w:id="5" w:name="_Toc506"/>
      <w:r>
        <w:rPr>
          <w:rFonts w:hint="eastAsia" w:ascii="楷体" w:hAnsi="楷体" w:eastAsia="楷体"/>
          <w:b/>
          <w:sz w:val="32"/>
          <w:szCs w:val="32"/>
        </w:rPr>
        <w:t>第四节  行政处罚的管辖</w:t>
      </w:r>
      <w:bookmarkEnd w:id="5"/>
    </w:p>
    <w:p>
      <w:pPr>
        <w:spacing w:line="560" w:lineRule="exact"/>
        <w:ind w:firstLine="636"/>
        <w:jc w:val="both"/>
        <w:rPr>
          <w:rFonts w:ascii="仿宋" w:hAnsi="仿宋" w:eastAsia="仿宋"/>
          <w:sz w:val="32"/>
          <w:szCs w:val="32"/>
        </w:rPr>
      </w:pPr>
      <w:r>
        <w:rPr>
          <w:rFonts w:hint="eastAsia" w:ascii="黑体" w:hAnsi="黑体" w:eastAsia="黑体"/>
          <w:sz w:val="32"/>
          <w:szCs w:val="32"/>
        </w:rPr>
        <w:t>一、</w:t>
      </w:r>
      <w:r>
        <w:rPr>
          <w:rFonts w:hint="eastAsia" w:ascii="仿宋" w:hAnsi="仿宋" w:eastAsia="仿宋"/>
          <w:sz w:val="32"/>
          <w:szCs w:val="32"/>
        </w:rPr>
        <w:t>区应急管理局在峰峰矿区辖区内对安全生产违法行为行使行政处罚管辖权，对峰峰矿区辖区内生产经营单位和有关人员的违法行为依法进行行政处罚。</w:t>
      </w:r>
    </w:p>
    <w:p>
      <w:pPr>
        <w:spacing w:line="560" w:lineRule="exact"/>
        <w:ind w:firstLine="636"/>
        <w:jc w:val="both"/>
        <w:rPr>
          <w:rFonts w:ascii="黑体" w:hAnsi="黑体" w:eastAsia="黑体"/>
          <w:sz w:val="32"/>
          <w:szCs w:val="32"/>
        </w:rPr>
      </w:pPr>
      <w:r>
        <w:rPr>
          <w:rFonts w:hint="eastAsia" w:ascii="黑体" w:hAnsi="黑体" w:eastAsia="黑体"/>
          <w:sz w:val="32"/>
          <w:szCs w:val="32"/>
        </w:rPr>
        <w:t>二、</w:t>
      </w:r>
      <w:r>
        <w:rPr>
          <w:rFonts w:hint="eastAsia" w:ascii="仿宋" w:hAnsi="仿宋" w:eastAsia="仿宋"/>
          <w:sz w:val="32"/>
          <w:szCs w:val="32"/>
        </w:rPr>
        <w:t>区应急管理局在峰峰矿区辖区内对中央企业及其所属企业、有关人员的安全生产违法行为依法进行行政处罚。</w:t>
      </w:r>
    </w:p>
    <w:p>
      <w:pPr>
        <w:spacing w:line="560" w:lineRule="exact"/>
        <w:ind w:firstLine="636"/>
        <w:jc w:val="both"/>
        <w:rPr>
          <w:rFonts w:ascii="仿宋" w:hAnsi="仿宋" w:eastAsia="仿宋"/>
          <w:sz w:val="32"/>
          <w:szCs w:val="32"/>
        </w:rPr>
      </w:pPr>
      <w:r>
        <w:rPr>
          <w:rFonts w:hint="eastAsia" w:ascii="黑体" w:hAnsi="黑体" w:eastAsia="黑体"/>
          <w:sz w:val="32"/>
          <w:szCs w:val="32"/>
        </w:rPr>
        <w:t>三、</w:t>
      </w:r>
      <w:r>
        <w:rPr>
          <w:rFonts w:hint="eastAsia" w:ascii="仿宋" w:hAnsi="仿宋" w:eastAsia="仿宋"/>
          <w:sz w:val="32"/>
          <w:szCs w:val="32"/>
        </w:rPr>
        <w:t>区应急管理局暂扣、吊销有关许可证和暂停、撤销有关执业资格、岗位证书的行政处罚，需报发证机关决定；法律、法规、规章另有规定的，依照其规定。其中，暂扣有关许可证和暂停有关执业资格、岗位证书的期限一般不得超过6个月；法律、行政法规另有规定的，依照其规定。</w:t>
      </w:r>
    </w:p>
    <w:p>
      <w:pPr>
        <w:spacing w:line="560" w:lineRule="exact"/>
        <w:ind w:firstLine="636"/>
        <w:jc w:val="both"/>
        <w:rPr>
          <w:rFonts w:ascii="仿宋" w:hAnsi="仿宋" w:eastAsia="仿宋"/>
          <w:sz w:val="32"/>
          <w:szCs w:val="32"/>
        </w:rPr>
      </w:pPr>
      <w:r>
        <w:rPr>
          <w:rFonts w:hint="eastAsia" w:ascii="黑体" w:hAnsi="黑体" w:eastAsia="黑体"/>
          <w:sz w:val="32"/>
          <w:szCs w:val="32"/>
        </w:rPr>
        <w:t>四、</w:t>
      </w:r>
      <w:r>
        <w:rPr>
          <w:rFonts w:hint="eastAsia" w:ascii="仿宋" w:hAnsi="仿宋" w:eastAsia="仿宋"/>
          <w:sz w:val="32"/>
          <w:szCs w:val="32"/>
        </w:rPr>
        <w:t>对区属生产经营单位给予关闭的行政处罚，应急管理局需报区政府按照国务院规定的权限决定。</w:t>
      </w:r>
    </w:p>
    <w:p>
      <w:pPr>
        <w:spacing w:line="560" w:lineRule="exact"/>
        <w:ind w:firstLine="636"/>
        <w:jc w:val="both"/>
        <w:rPr>
          <w:rFonts w:ascii="仿宋" w:hAnsi="仿宋" w:eastAsia="仿宋"/>
          <w:sz w:val="32"/>
          <w:szCs w:val="32"/>
        </w:rPr>
      </w:pPr>
      <w:r>
        <w:rPr>
          <w:rFonts w:hint="eastAsia" w:ascii="黑体" w:hAnsi="黑体" w:eastAsia="黑体"/>
          <w:sz w:val="32"/>
          <w:szCs w:val="32"/>
        </w:rPr>
        <w:t>五、</w:t>
      </w:r>
      <w:r>
        <w:rPr>
          <w:rFonts w:hint="eastAsia" w:ascii="仿宋" w:hAnsi="仿宋" w:eastAsia="仿宋"/>
          <w:sz w:val="32"/>
          <w:szCs w:val="32"/>
        </w:rPr>
        <w:t>给予拘留的行政处罚，区应急管理局建议公安机关依照治安管理处罚法的规定决定。</w:t>
      </w:r>
    </w:p>
    <w:p>
      <w:pPr>
        <w:spacing w:line="560" w:lineRule="exact"/>
        <w:ind w:firstLine="636"/>
        <w:jc w:val="both"/>
        <w:rPr>
          <w:rFonts w:ascii="仿宋" w:hAnsi="仿宋" w:eastAsia="仿宋"/>
          <w:sz w:val="32"/>
          <w:szCs w:val="32"/>
        </w:rPr>
      </w:pPr>
      <w:r>
        <w:rPr>
          <w:rFonts w:hint="eastAsia" w:ascii="黑体" w:hAnsi="黑体" w:eastAsia="黑体"/>
          <w:sz w:val="32"/>
          <w:szCs w:val="32"/>
        </w:rPr>
        <w:t>六、</w:t>
      </w:r>
      <w:r>
        <w:rPr>
          <w:rFonts w:hint="eastAsia" w:ascii="仿宋" w:hAnsi="仿宋" w:eastAsia="仿宋"/>
          <w:sz w:val="32"/>
          <w:szCs w:val="32"/>
        </w:rPr>
        <w:t>移送管辖。对报告或者举报的安全生产违法行为。区应急管理局应当依法受理；发现不属于自己管辖的，应当移送有管辖权的部门。受移送的安全生产监督管理部门对管辖权有异议的，应当报请共同的上一级安全生产监督管理部门指定管辖。</w:t>
      </w:r>
    </w:p>
    <w:p>
      <w:pPr>
        <w:spacing w:line="560" w:lineRule="exact"/>
        <w:ind w:firstLine="636"/>
        <w:jc w:val="both"/>
        <w:rPr>
          <w:rFonts w:ascii="仿宋" w:hAnsi="仿宋" w:eastAsia="仿宋"/>
          <w:sz w:val="32"/>
          <w:szCs w:val="32"/>
        </w:rPr>
      </w:pPr>
      <w:r>
        <w:rPr>
          <w:rFonts w:hint="eastAsia" w:ascii="黑体" w:hAnsi="黑体" w:eastAsia="黑体"/>
          <w:sz w:val="32"/>
          <w:szCs w:val="32"/>
        </w:rPr>
        <w:t>七、</w:t>
      </w:r>
      <w:r>
        <w:rPr>
          <w:rFonts w:hint="eastAsia" w:ascii="仿宋" w:hAnsi="仿宋" w:eastAsia="仿宋"/>
          <w:sz w:val="32"/>
          <w:szCs w:val="32"/>
        </w:rPr>
        <w:t>区应急管理局可以将重大、疑难案件报请市应急管理局管辖。市应急管理局有权对区应急管理局违法或者不适当的行政处罚予以纠正或者撤销。</w:t>
      </w:r>
    </w:p>
    <w:p>
      <w:pPr>
        <w:spacing w:line="560" w:lineRule="exact"/>
        <w:jc w:val="center"/>
        <w:outlineLvl w:val="1"/>
        <w:rPr>
          <w:rFonts w:ascii="楷体" w:hAnsi="楷体" w:eastAsia="楷体"/>
          <w:b/>
          <w:sz w:val="32"/>
          <w:szCs w:val="32"/>
        </w:rPr>
      </w:pPr>
      <w:bookmarkStart w:id="6" w:name="_Toc9196"/>
      <w:r>
        <w:rPr>
          <w:rFonts w:hint="eastAsia" w:ascii="楷体" w:hAnsi="楷体" w:eastAsia="楷体"/>
          <w:b/>
          <w:sz w:val="32"/>
          <w:szCs w:val="32"/>
        </w:rPr>
        <w:t>第五节  行政处罚程序</w:t>
      </w:r>
      <w:bookmarkEnd w:id="6"/>
    </w:p>
    <w:p>
      <w:pPr>
        <w:spacing w:line="560" w:lineRule="exact"/>
        <w:ind w:firstLine="640" w:firstLineChars="200"/>
        <w:jc w:val="both"/>
        <w:rPr>
          <w:rFonts w:ascii="楷体" w:hAnsi="楷体" w:eastAsia="楷体"/>
          <w:b/>
          <w:sz w:val="32"/>
          <w:szCs w:val="32"/>
        </w:rPr>
      </w:pPr>
      <w:r>
        <w:rPr>
          <w:rFonts w:hint="eastAsia" w:ascii="黑体" w:hAnsi="黑体" w:eastAsia="黑体"/>
          <w:sz w:val="32"/>
          <w:szCs w:val="32"/>
        </w:rPr>
        <w:t>一、行政处罚简易程序</w:t>
      </w:r>
    </w:p>
    <w:p>
      <w:pPr>
        <w:spacing w:line="560" w:lineRule="exact"/>
        <w:ind w:firstLine="643" w:firstLineChars="200"/>
        <w:jc w:val="both"/>
        <w:rPr>
          <w:rFonts w:ascii="楷体" w:hAnsi="楷体" w:eastAsia="楷体"/>
          <w:b/>
          <w:sz w:val="32"/>
          <w:szCs w:val="32"/>
        </w:rPr>
      </w:pPr>
      <w:r>
        <w:rPr>
          <w:rFonts w:hint="eastAsia" w:ascii="楷体" w:hAnsi="楷体" w:eastAsia="楷体"/>
          <w:b/>
          <w:sz w:val="32"/>
          <w:szCs w:val="32"/>
        </w:rPr>
        <w:t>（一）适用范围</w:t>
      </w:r>
    </w:p>
    <w:p>
      <w:pPr>
        <w:spacing w:line="560" w:lineRule="exact"/>
        <w:ind w:firstLine="648"/>
        <w:jc w:val="both"/>
        <w:rPr>
          <w:rFonts w:ascii="仿宋" w:hAnsi="仿宋" w:eastAsia="仿宋"/>
          <w:b/>
          <w:sz w:val="32"/>
          <w:szCs w:val="32"/>
        </w:rPr>
      </w:pPr>
      <w:r>
        <w:rPr>
          <w:rFonts w:hint="eastAsia" w:ascii="仿宋" w:hAnsi="仿宋" w:eastAsia="仿宋"/>
          <w:sz w:val="32"/>
          <w:szCs w:val="32"/>
        </w:rPr>
        <w:t>1、简易程序即当场处罚程序。区应急管理局安全生产执法人员对案情简单清楚、处罚较轻的安全生产行政违法行为当场给予处罚所采用的程序。</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2、违法事实确凿并有法定依据，对公民处以50元以下、对法人或者其他组织处以1000元以下罚款或者警告的行政处罚的，行政执法人员可以当场作出行政处罚决定。</w:t>
      </w:r>
    </w:p>
    <w:p>
      <w:pPr>
        <w:spacing w:line="560" w:lineRule="exact"/>
        <w:ind w:firstLine="643" w:firstLineChars="200"/>
        <w:jc w:val="both"/>
        <w:rPr>
          <w:rFonts w:ascii="楷体" w:hAnsi="楷体" w:eastAsia="楷体"/>
          <w:b/>
          <w:sz w:val="32"/>
          <w:szCs w:val="32"/>
        </w:rPr>
      </w:pPr>
      <w:r>
        <w:rPr>
          <w:rFonts w:hint="eastAsia" w:ascii="楷体" w:hAnsi="楷体" w:eastAsia="楷体"/>
          <w:b/>
          <w:sz w:val="32"/>
          <w:szCs w:val="32"/>
        </w:rPr>
        <w:t>（二）处罚程序</w:t>
      </w:r>
    </w:p>
    <w:p>
      <w:pPr>
        <w:spacing w:line="560" w:lineRule="exact"/>
        <w:ind w:firstLine="643" w:firstLineChars="200"/>
        <w:jc w:val="both"/>
        <w:rPr>
          <w:rFonts w:ascii="仿宋" w:hAnsi="仿宋" w:eastAsia="仿宋"/>
          <w:b/>
          <w:sz w:val="32"/>
          <w:szCs w:val="32"/>
        </w:rPr>
      </w:pPr>
      <w:r>
        <w:rPr>
          <w:rFonts w:hint="eastAsia" w:ascii="仿宋" w:hAnsi="仿宋" w:eastAsia="仿宋"/>
          <w:b/>
          <w:sz w:val="32"/>
          <w:szCs w:val="32"/>
        </w:rPr>
        <w:t>1、适用简易程序当场作出行政处罚决定的，行政执法人员应当遵循以下程序：</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1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①</w:t>
      </w:r>
      <w:r>
        <w:rPr>
          <w:rFonts w:ascii="仿宋" w:hAnsi="仿宋" w:eastAsia="仿宋"/>
          <w:sz w:val="32"/>
          <w:szCs w:val="32"/>
        </w:rPr>
        <w:fldChar w:fldCharType="end"/>
      </w:r>
      <w:r>
        <w:rPr>
          <w:rFonts w:hint="eastAsia" w:ascii="仿宋" w:hAnsi="仿宋" w:eastAsia="仿宋"/>
          <w:sz w:val="32"/>
          <w:szCs w:val="32"/>
        </w:rPr>
        <w:t>向当事人或者有关人员出示有效的行政执法证件，表明身份；</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2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②</w:t>
      </w:r>
      <w:r>
        <w:rPr>
          <w:rFonts w:ascii="仿宋" w:hAnsi="仿宋" w:eastAsia="仿宋"/>
          <w:sz w:val="32"/>
          <w:szCs w:val="32"/>
        </w:rPr>
        <w:fldChar w:fldCharType="end"/>
      </w:r>
      <w:r>
        <w:rPr>
          <w:rFonts w:hint="eastAsia" w:ascii="仿宋" w:hAnsi="仿宋" w:eastAsia="仿宋"/>
          <w:sz w:val="32"/>
          <w:szCs w:val="32"/>
        </w:rPr>
        <w:t>告知当事人作出行政处罚决定的事实、理由和依据；</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3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③</w:t>
      </w:r>
      <w:r>
        <w:rPr>
          <w:rFonts w:ascii="仿宋" w:hAnsi="仿宋" w:eastAsia="仿宋"/>
          <w:sz w:val="32"/>
          <w:szCs w:val="32"/>
        </w:rPr>
        <w:fldChar w:fldCharType="end"/>
      </w:r>
      <w:r>
        <w:rPr>
          <w:rFonts w:hint="eastAsia" w:ascii="仿宋" w:hAnsi="仿宋" w:eastAsia="仿宋"/>
          <w:sz w:val="32"/>
          <w:szCs w:val="32"/>
        </w:rPr>
        <w:t>听取当事人的陈述和申辩，并制作《当事人陈述申辩笔录》；</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4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④</w:t>
      </w:r>
      <w:r>
        <w:rPr>
          <w:rFonts w:ascii="仿宋" w:hAnsi="仿宋" w:eastAsia="仿宋"/>
          <w:sz w:val="32"/>
          <w:szCs w:val="32"/>
        </w:rPr>
        <w:fldChar w:fldCharType="end"/>
      </w:r>
      <w:r>
        <w:rPr>
          <w:rFonts w:hint="eastAsia" w:ascii="仿宋" w:hAnsi="仿宋" w:eastAsia="仿宋"/>
          <w:sz w:val="32"/>
          <w:szCs w:val="32"/>
        </w:rPr>
        <w:t>按照有关规定，制作《行政（当场）处罚决定书》；</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5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⑤</w:t>
      </w:r>
      <w:r>
        <w:rPr>
          <w:rFonts w:ascii="仿宋" w:hAnsi="仿宋" w:eastAsia="仿宋"/>
          <w:sz w:val="32"/>
          <w:szCs w:val="32"/>
        </w:rPr>
        <w:fldChar w:fldCharType="end"/>
      </w:r>
      <w:r>
        <w:rPr>
          <w:rFonts w:hint="eastAsia" w:ascii="仿宋" w:hAnsi="仿宋" w:eastAsia="仿宋"/>
          <w:sz w:val="32"/>
          <w:szCs w:val="32"/>
        </w:rPr>
        <w:t>将《行政（当场）处罚决定书》当场交付当事人，并由当事人签字确认；</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6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⑥</w:t>
      </w:r>
      <w:r>
        <w:rPr>
          <w:rFonts w:ascii="仿宋" w:hAnsi="仿宋" w:eastAsia="仿宋"/>
          <w:sz w:val="32"/>
          <w:szCs w:val="32"/>
        </w:rPr>
        <w:fldChar w:fldCharType="end"/>
      </w:r>
      <w:r>
        <w:rPr>
          <w:rFonts w:hint="eastAsia" w:ascii="仿宋" w:hAnsi="仿宋" w:eastAsia="仿宋"/>
          <w:sz w:val="32"/>
          <w:szCs w:val="32"/>
        </w:rPr>
        <w:t>承办案件人员及时向局主管领导报告行政处罚决定，并在5日内备案。</w:t>
      </w:r>
    </w:p>
    <w:p>
      <w:pPr>
        <w:spacing w:line="560" w:lineRule="exact"/>
        <w:ind w:firstLine="643" w:firstLineChars="200"/>
        <w:jc w:val="both"/>
        <w:rPr>
          <w:rFonts w:ascii="仿宋" w:hAnsi="仿宋" w:eastAsia="仿宋"/>
          <w:b/>
          <w:sz w:val="32"/>
          <w:szCs w:val="32"/>
        </w:rPr>
      </w:pPr>
      <w:r>
        <w:rPr>
          <w:rFonts w:hint="eastAsia" w:ascii="仿宋" w:hAnsi="仿宋" w:eastAsia="仿宋"/>
          <w:b/>
          <w:sz w:val="32"/>
          <w:szCs w:val="32"/>
        </w:rPr>
        <w:t>2、《行政（当场）处罚决定书》应载明下列内容：</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1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①</w:t>
      </w:r>
      <w:r>
        <w:rPr>
          <w:rFonts w:ascii="仿宋" w:hAnsi="仿宋" w:eastAsia="仿宋"/>
          <w:sz w:val="32"/>
          <w:szCs w:val="32"/>
        </w:rPr>
        <w:fldChar w:fldCharType="end"/>
      </w:r>
      <w:r>
        <w:rPr>
          <w:rFonts w:hint="eastAsia" w:ascii="仿宋" w:hAnsi="仿宋" w:eastAsia="仿宋"/>
          <w:sz w:val="32"/>
          <w:szCs w:val="32"/>
        </w:rPr>
        <w:t>当事人的基本情况，包括当事人的姓名、住址等有关事项；</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2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②</w:t>
      </w:r>
      <w:r>
        <w:rPr>
          <w:rFonts w:ascii="仿宋" w:hAnsi="仿宋" w:eastAsia="仿宋"/>
          <w:sz w:val="32"/>
          <w:szCs w:val="32"/>
        </w:rPr>
        <w:fldChar w:fldCharType="end"/>
      </w:r>
      <w:r>
        <w:rPr>
          <w:rFonts w:hint="eastAsia" w:ascii="仿宋" w:hAnsi="仿宋" w:eastAsia="仿宋"/>
          <w:sz w:val="32"/>
          <w:szCs w:val="32"/>
        </w:rPr>
        <w:t>当事人的违法行为及主要证据；</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3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③</w:t>
      </w:r>
      <w:r>
        <w:rPr>
          <w:rFonts w:ascii="仿宋" w:hAnsi="仿宋" w:eastAsia="仿宋"/>
          <w:sz w:val="32"/>
          <w:szCs w:val="32"/>
        </w:rPr>
        <w:fldChar w:fldCharType="end"/>
      </w:r>
      <w:r>
        <w:rPr>
          <w:rFonts w:hint="eastAsia" w:ascii="仿宋" w:hAnsi="仿宋" w:eastAsia="仿宋"/>
          <w:sz w:val="32"/>
          <w:szCs w:val="32"/>
        </w:rPr>
        <w:t>行政处罚的依据，包括作出该行政处罚的事实依据和法律依据；</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4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④</w:t>
      </w:r>
      <w:r>
        <w:rPr>
          <w:rFonts w:ascii="仿宋" w:hAnsi="仿宋" w:eastAsia="仿宋"/>
          <w:sz w:val="32"/>
          <w:szCs w:val="32"/>
        </w:rPr>
        <w:fldChar w:fldCharType="end"/>
      </w:r>
      <w:r>
        <w:rPr>
          <w:rFonts w:hint="eastAsia" w:ascii="仿宋" w:hAnsi="仿宋" w:eastAsia="仿宋"/>
          <w:sz w:val="32"/>
          <w:szCs w:val="32"/>
        </w:rPr>
        <w:t>罚款数额（如果是警告则此项不写）；</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5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⑤</w:t>
      </w:r>
      <w:r>
        <w:rPr>
          <w:rFonts w:ascii="仿宋" w:hAnsi="仿宋" w:eastAsia="仿宋"/>
          <w:sz w:val="32"/>
          <w:szCs w:val="32"/>
        </w:rPr>
        <w:fldChar w:fldCharType="end"/>
      </w:r>
      <w:r>
        <w:rPr>
          <w:rFonts w:hint="eastAsia" w:ascii="仿宋" w:hAnsi="仿宋" w:eastAsia="仿宋"/>
          <w:sz w:val="32"/>
          <w:szCs w:val="32"/>
        </w:rPr>
        <w:t>违法行为发生的时间及行政处罚的地点；</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6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⑥</w:t>
      </w:r>
      <w:r>
        <w:rPr>
          <w:rFonts w:ascii="仿宋" w:hAnsi="仿宋" w:eastAsia="仿宋"/>
          <w:sz w:val="32"/>
          <w:szCs w:val="32"/>
        </w:rPr>
        <w:fldChar w:fldCharType="end"/>
      </w:r>
      <w:r>
        <w:rPr>
          <w:rFonts w:hint="eastAsia" w:ascii="仿宋" w:hAnsi="仿宋" w:eastAsia="仿宋"/>
          <w:sz w:val="32"/>
          <w:szCs w:val="32"/>
        </w:rPr>
        <w:t>注明区安全监督</w:t>
      </w:r>
      <w:r>
        <w:rPr>
          <w:rFonts w:ascii="仿宋" w:hAnsi="仿宋" w:eastAsia="仿宋"/>
          <w:sz w:val="32"/>
          <w:szCs w:val="32"/>
        </w:rPr>
        <w:t>管理部门</w:t>
      </w:r>
      <w:r>
        <w:rPr>
          <w:rFonts w:hint="eastAsia" w:ascii="仿宋" w:hAnsi="仿宋" w:eastAsia="仿宋"/>
          <w:sz w:val="32"/>
          <w:szCs w:val="32"/>
        </w:rPr>
        <w:t>的名称和日期；</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7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⑦</w:t>
      </w:r>
      <w:r>
        <w:rPr>
          <w:rFonts w:ascii="仿宋" w:hAnsi="仿宋" w:eastAsia="仿宋"/>
          <w:sz w:val="32"/>
          <w:szCs w:val="32"/>
        </w:rPr>
        <w:fldChar w:fldCharType="end"/>
      </w:r>
      <w:r>
        <w:rPr>
          <w:rFonts w:hint="eastAsia" w:ascii="仿宋" w:hAnsi="仿宋" w:eastAsia="仿宋"/>
          <w:sz w:val="32"/>
          <w:szCs w:val="32"/>
        </w:rPr>
        <w:t>承办案件的执法人员签名。</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3、收缴罚款。</w:t>
      </w:r>
      <w:r>
        <w:rPr>
          <w:rFonts w:hint="eastAsia" w:ascii="仿宋" w:hAnsi="仿宋" w:eastAsia="仿宋"/>
          <w:sz w:val="32"/>
          <w:szCs w:val="32"/>
        </w:rPr>
        <w:t>有下列情形之一的，安全生产现场执法人员可以依法当场收缴罚款，同时向当事人出具由省财政部门统一制发的罚款收据：</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1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①</w:t>
      </w:r>
      <w:r>
        <w:rPr>
          <w:rFonts w:ascii="仿宋" w:hAnsi="仿宋" w:eastAsia="仿宋"/>
          <w:sz w:val="32"/>
          <w:szCs w:val="32"/>
        </w:rPr>
        <w:fldChar w:fldCharType="end"/>
      </w:r>
      <w:r>
        <w:rPr>
          <w:rFonts w:hint="eastAsia" w:ascii="仿宋" w:hAnsi="仿宋" w:eastAsia="仿宋"/>
          <w:sz w:val="32"/>
          <w:szCs w:val="32"/>
        </w:rPr>
        <w:t>依法给予20元以下的罚款的；</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2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②</w:t>
      </w:r>
      <w:r>
        <w:rPr>
          <w:rFonts w:ascii="仿宋" w:hAnsi="仿宋" w:eastAsia="仿宋"/>
          <w:sz w:val="32"/>
          <w:szCs w:val="32"/>
        </w:rPr>
        <w:fldChar w:fldCharType="end"/>
      </w:r>
      <w:r>
        <w:rPr>
          <w:rFonts w:hint="eastAsia" w:ascii="仿宋" w:hAnsi="仿宋" w:eastAsia="仿宋"/>
          <w:sz w:val="32"/>
          <w:szCs w:val="32"/>
        </w:rPr>
        <w:t>不当场收缴事后难以执行的；</w:t>
      </w:r>
    </w:p>
    <w:p>
      <w:pPr>
        <w:spacing w:line="560" w:lineRule="exact"/>
        <w:ind w:firstLine="648"/>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3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③</w:t>
      </w:r>
      <w:r>
        <w:rPr>
          <w:rFonts w:ascii="仿宋" w:hAnsi="仿宋" w:eastAsia="仿宋"/>
          <w:sz w:val="32"/>
          <w:szCs w:val="32"/>
        </w:rPr>
        <w:fldChar w:fldCharType="end"/>
      </w:r>
      <w:r>
        <w:rPr>
          <w:rFonts w:hint="eastAsia" w:ascii="仿宋" w:hAnsi="仿宋" w:eastAsia="仿宋"/>
          <w:sz w:val="32"/>
          <w:szCs w:val="32"/>
        </w:rPr>
        <w:t>在交通不便地区，当事人向指定的银行缴纳罚款确有困难，经当事人提出的。</w:t>
      </w:r>
    </w:p>
    <w:p>
      <w:pPr>
        <w:spacing w:line="560" w:lineRule="exact"/>
        <w:ind w:firstLine="648"/>
        <w:jc w:val="both"/>
        <w:rPr>
          <w:rFonts w:ascii="仿宋" w:hAnsi="仿宋" w:eastAsia="仿宋"/>
          <w:sz w:val="32"/>
          <w:szCs w:val="32"/>
        </w:rPr>
      </w:pPr>
      <w:r>
        <w:rPr>
          <w:rFonts w:hint="eastAsia" w:ascii="仿宋" w:hAnsi="仿宋" w:eastAsia="仿宋"/>
          <w:sz w:val="32"/>
          <w:szCs w:val="32"/>
        </w:rPr>
        <w:t>当场收缴的罚款，应当自收缴罚款之日起2日内交至本部门财务机构；局财务应当自收缴罚款之日起2日内缴付指定银行。</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除依法当场收缴的罚款外，当事人应当自收到行政处罚决定书之日起15日内，到指定的银行缴纳罚款。</w:t>
      </w:r>
    </w:p>
    <w:p>
      <w:pPr>
        <w:spacing w:line="560" w:lineRule="exact"/>
        <w:ind w:firstLine="640" w:firstLineChars="200"/>
        <w:jc w:val="both"/>
        <w:rPr>
          <w:rFonts w:ascii="黑体" w:hAnsi="黑体" w:eastAsia="黑体"/>
          <w:color w:val="FF0000"/>
          <w:sz w:val="32"/>
          <w:szCs w:val="32"/>
        </w:rPr>
      </w:pPr>
      <w:r>
        <w:rPr>
          <w:rFonts w:hint="eastAsia" w:ascii="黑体" w:hAnsi="黑体" w:eastAsia="黑体"/>
          <w:sz w:val="32"/>
          <w:szCs w:val="32"/>
        </w:rPr>
        <w:t>二、行政处罚一般程序</w:t>
      </w:r>
    </w:p>
    <w:p>
      <w:pPr>
        <w:spacing w:line="560" w:lineRule="exact"/>
        <w:ind w:firstLine="643" w:firstLineChars="200"/>
        <w:jc w:val="both"/>
        <w:rPr>
          <w:rFonts w:ascii="楷体" w:hAnsi="楷体" w:eastAsia="楷体"/>
          <w:b/>
          <w:sz w:val="32"/>
          <w:szCs w:val="32"/>
        </w:rPr>
      </w:pPr>
      <w:r>
        <w:rPr>
          <w:rFonts w:hint="eastAsia" w:ascii="楷体" w:hAnsi="楷体" w:eastAsia="楷体"/>
          <w:b/>
          <w:sz w:val="32"/>
          <w:szCs w:val="32"/>
        </w:rPr>
        <w:t>（一）立案</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1、办理立案手续。</w:t>
      </w:r>
      <w:r>
        <w:rPr>
          <w:rFonts w:hint="eastAsia" w:ascii="仿宋" w:hAnsi="仿宋" w:eastAsia="仿宋"/>
          <w:sz w:val="32"/>
          <w:szCs w:val="32"/>
        </w:rPr>
        <w:t>除依照简易程序当场作出的行政处罚外，局各科室发现生产经营单位及其有关人员有应当给予行政处罚的行为的，应当予以立案，填写《立案审批表》，并全面、客观、公正地进行调查，收集有关证据。对确需立即查处的安全生产违法行为，可以先行调查取证，并在5日内补办立案手续。</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2、立案条件。</w:t>
      </w:r>
      <w:r>
        <w:rPr>
          <w:rFonts w:hint="eastAsia" w:ascii="仿宋" w:hAnsi="仿宋" w:eastAsia="仿宋"/>
          <w:sz w:val="32"/>
          <w:szCs w:val="32"/>
        </w:rPr>
        <w:t>满足以下条件方可申请立案：</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1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①</w:t>
      </w:r>
      <w:r>
        <w:rPr>
          <w:rFonts w:ascii="仿宋" w:hAnsi="仿宋" w:eastAsia="仿宋"/>
          <w:sz w:val="32"/>
          <w:szCs w:val="32"/>
        </w:rPr>
        <w:fldChar w:fldCharType="end"/>
      </w:r>
      <w:r>
        <w:rPr>
          <w:rFonts w:hint="eastAsia" w:ascii="仿宋" w:hAnsi="仿宋" w:eastAsia="仿宋"/>
          <w:sz w:val="32"/>
          <w:szCs w:val="32"/>
        </w:rPr>
        <w:t>有证据初步证明公民、法人或者其他组织有安全生产违法行为；</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2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②</w:t>
      </w:r>
      <w:r>
        <w:rPr>
          <w:rFonts w:ascii="仿宋" w:hAnsi="仿宋" w:eastAsia="仿宋"/>
          <w:sz w:val="32"/>
          <w:szCs w:val="32"/>
        </w:rPr>
        <w:fldChar w:fldCharType="end"/>
      </w:r>
      <w:r>
        <w:rPr>
          <w:rFonts w:hint="eastAsia" w:ascii="仿宋" w:hAnsi="仿宋" w:eastAsia="仿宋"/>
          <w:sz w:val="32"/>
          <w:szCs w:val="32"/>
        </w:rPr>
        <w:t>属于区安全监督管理部门管辖范围；</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3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③</w:t>
      </w:r>
      <w:r>
        <w:rPr>
          <w:rFonts w:ascii="仿宋" w:hAnsi="仿宋" w:eastAsia="仿宋"/>
          <w:sz w:val="32"/>
          <w:szCs w:val="32"/>
        </w:rPr>
        <w:fldChar w:fldCharType="end"/>
      </w:r>
      <w:r>
        <w:rPr>
          <w:rFonts w:hint="eastAsia" w:ascii="仿宋" w:hAnsi="仿宋" w:eastAsia="仿宋"/>
          <w:sz w:val="32"/>
          <w:szCs w:val="32"/>
        </w:rPr>
        <w:t>依法应当给予行政处罚；</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4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④</w:t>
      </w:r>
      <w:r>
        <w:rPr>
          <w:rFonts w:ascii="仿宋" w:hAnsi="仿宋" w:eastAsia="仿宋"/>
          <w:sz w:val="32"/>
          <w:szCs w:val="32"/>
        </w:rPr>
        <w:fldChar w:fldCharType="end"/>
      </w:r>
      <w:r>
        <w:rPr>
          <w:rFonts w:hint="eastAsia" w:ascii="仿宋" w:hAnsi="仿宋" w:eastAsia="仿宋"/>
          <w:sz w:val="32"/>
          <w:szCs w:val="32"/>
        </w:rPr>
        <w:t>在法定追究行政处罚责任的期限内；</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5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⑤</w:t>
      </w:r>
      <w:r>
        <w:rPr>
          <w:rFonts w:ascii="仿宋" w:hAnsi="仿宋" w:eastAsia="仿宋"/>
          <w:sz w:val="32"/>
          <w:szCs w:val="32"/>
        </w:rPr>
        <w:fldChar w:fldCharType="end"/>
      </w:r>
      <w:r>
        <w:rPr>
          <w:rFonts w:hint="eastAsia" w:ascii="仿宋" w:hAnsi="仿宋" w:eastAsia="仿宋"/>
          <w:sz w:val="32"/>
          <w:szCs w:val="32"/>
        </w:rPr>
        <w:t>法律、法规、规章规定的其他条件。</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3、审批。</w:t>
      </w:r>
      <w:r>
        <w:rPr>
          <w:rFonts w:hint="eastAsia" w:ascii="仿宋" w:hAnsi="仿宋" w:eastAsia="仿宋"/>
          <w:sz w:val="32"/>
          <w:szCs w:val="32"/>
        </w:rPr>
        <w:t>确需进行立案的，应填写《立案审批表》，载明案由、案件来源、案件名称、当事人、案件基本情况等内容。《立案审批表》应经两名承办人签署意见及姓名、执法证件编号、时间后，送局主管领导审核、主要</w:t>
      </w:r>
      <w:r>
        <w:rPr>
          <w:rFonts w:ascii="仿宋" w:hAnsi="仿宋" w:eastAsia="仿宋"/>
          <w:sz w:val="32"/>
          <w:szCs w:val="32"/>
        </w:rPr>
        <w:t>领导</w:t>
      </w:r>
      <w:r>
        <w:rPr>
          <w:rFonts w:hint="eastAsia" w:ascii="仿宋" w:hAnsi="仿宋" w:eastAsia="仿宋"/>
          <w:sz w:val="32"/>
          <w:szCs w:val="32"/>
        </w:rPr>
        <w:t>审批。</w:t>
      </w:r>
    </w:p>
    <w:p>
      <w:pPr>
        <w:spacing w:line="560" w:lineRule="exact"/>
        <w:ind w:firstLine="643" w:firstLineChars="200"/>
        <w:jc w:val="both"/>
        <w:rPr>
          <w:rFonts w:ascii="仿宋" w:hAnsi="仿宋" w:eastAsia="仿宋"/>
          <w:b/>
          <w:sz w:val="32"/>
          <w:szCs w:val="32"/>
        </w:rPr>
      </w:pPr>
      <w:r>
        <w:rPr>
          <w:rFonts w:hint="eastAsia" w:ascii="楷体" w:hAnsi="楷体" w:eastAsia="楷体"/>
          <w:b/>
          <w:sz w:val="32"/>
          <w:szCs w:val="32"/>
        </w:rPr>
        <w:t>（二）调查取证</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1、</w:t>
      </w:r>
      <w:r>
        <w:rPr>
          <w:rFonts w:hint="eastAsia" w:ascii="仿宋" w:hAnsi="仿宋" w:eastAsia="仿宋"/>
          <w:sz w:val="32"/>
          <w:szCs w:val="32"/>
        </w:rPr>
        <w:t>进行案件调查取证时，安全生产执法人员不得少于两名，并应当向当事人或者有关人员出示有效的执法证件，表明身份。</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2、回避。</w:t>
      </w:r>
      <w:r>
        <w:rPr>
          <w:rFonts w:hint="eastAsia" w:ascii="仿宋" w:hAnsi="仿宋" w:eastAsia="仿宋"/>
          <w:sz w:val="32"/>
          <w:szCs w:val="32"/>
        </w:rPr>
        <w:t>有下列情形之一的，承办案件的行政执法人员应当回避：</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1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①</w:t>
      </w:r>
      <w:r>
        <w:rPr>
          <w:rFonts w:ascii="仿宋" w:hAnsi="仿宋" w:eastAsia="仿宋"/>
          <w:sz w:val="32"/>
          <w:szCs w:val="32"/>
        </w:rPr>
        <w:fldChar w:fldCharType="end"/>
      </w:r>
      <w:r>
        <w:rPr>
          <w:rFonts w:hint="eastAsia" w:ascii="仿宋" w:hAnsi="仿宋" w:eastAsia="仿宋"/>
          <w:sz w:val="32"/>
          <w:szCs w:val="32"/>
        </w:rPr>
        <w:t>本人是本案的当事人或者当事人的近亲属的；</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2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②</w:t>
      </w:r>
      <w:r>
        <w:rPr>
          <w:rFonts w:ascii="仿宋" w:hAnsi="仿宋" w:eastAsia="仿宋"/>
          <w:sz w:val="32"/>
          <w:szCs w:val="32"/>
        </w:rPr>
        <w:fldChar w:fldCharType="end"/>
      </w:r>
      <w:r>
        <w:rPr>
          <w:rFonts w:hint="eastAsia" w:ascii="仿宋" w:hAnsi="仿宋" w:eastAsia="仿宋"/>
          <w:sz w:val="32"/>
          <w:szCs w:val="32"/>
        </w:rPr>
        <w:t>本人或者近亲属与本案有利害关系的；</w:t>
      </w:r>
    </w:p>
    <w:p>
      <w:pPr>
        <w:spacing w:line="560" w:lineRule="exact"/>
        <w:ind w:firstLine="636"/>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3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③</w:t>
      </w:r>
      <w:r>
        <w:rPr>
          <w:rFonts w:ascii="仿宋" w:hAnsi="仿宋" w:eastAsia="仿宋"/>
          <w:sz w:val="32"/>
          <w:szCs w:val="32"/>
        </w:rPr>
        <w:fldChar w:fldCharType="end"/>
      </w:r>
      <w:r>
        <w:rPr>
          <w:rFonts w:hint="eastAsia" w:ascii="仿宋" w:hAnsi="仿宋" w:eastAsia="仿宋"/>
          <w:sz w:val="32"/>
          <w:szCs w:val="32"/>
        </w:rPr>
        <w:t>与本人有其他利害关系，可能影响案件的公正处理的。安全生产执法人员在案件办理中，发现存在上述需要回避情形的，应当自行申请回避；本人未申请回避的，区应急管理局责令其回避；公民、法人和其他组织也可以提出回避申请。安全生产行政执法人员的回避，由区应急管理局局长决定。进行调查的区应急管理局负责人的回避，由区应急管理局负责人集体讨论决定。回避决定作出之前，承办案件的安全生产行政执法人员不得擅自停止对案件的调查。</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3、制作询问或者检查笔录。</w:t>
      </w:r>
      <w:r>
        <w:rPr>
          <w:rFonts w:hint="eastAsia" w:ascii="仿宋" w:hAnsi="仿宋" w:eastAsia="仿宋"/>
          <w:sz w:val="32"/>
          <w:szCs w:val="32"/>
        </w:rPr>
        <w:t>询问或者检查应当制作笔录。笔录应当记载时间、地点、询问和检查情况，并由被询问人、被检查单位和安全生产行政执法人员签名或者盖章；被询问人、被检查单位要求补正的，应当允许。被询问人或者被检查单位拒绝签名或者盖章的，安全生产行政执法人员应当在笔录上注明原因并签名。</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调取原始凭证确有困难的，可以复制，复制件应当注明“经核对与原件无异”的字样、采集人、出具人、采集时间和原始凭证存放的单位及其处所，并由出具证据的生产经营单位、人员签名或者盖章；个体经营且没有印章的生产经营单位，应当由该个体经营者签名。</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4、</w:t>
      </w:r>
      <w:r>
        <w:rPr>
          <w:rFonts w:hint="eastAsia" w:ascii="仿宋" w:hAnsi="仿宋" w:eastAsia="仿宋"/>
          <w:sz w:val="32"/>
          <w:szCs w:val="32"/>
        </w:rPr>
        <w:t>安全生产行政执法人员在收集证据时，可以采取抽样取证的方法；在证据可能灭失或者以后难以取得的情况下，经区应急管理局主管领导批准，可以先行登记保存，制作并送达《先行登记保存证据通知书》，并在7日内依法作出处理决定。</w:t>
      </w:r>
    </w:p>
    <w:p>
      <w:pPr>
        <w:spacing w:line="560" w:lineRule="exact"/>
        <w:ind w:firstLine="643" w:firstLineChars="200"/>
        <w:jc w:val="both"/>
        <w:rPr>
          <w:rFonts w:ascii="楷体" w:hAnsi="楷体" w:eastAsia="楷体"/>
          <w:b/>
          <w:sz w:val="32"/>
          <w:szCs w:val="32"/>
        </w:rPr>
      </w:pPr>
      <w:r>
        <w:rPr>
          <w:rFonts w:hint="eastAsia" w:ascii="楷体" w:hAnsi="楷体" w:eastAsia="楷体"/>
          <w:b/>
          <w:sz w:val="32"/>
          <w:szCs w:val="32"/>
        </w:rPr>
        <w:t>（三）案件审理</w:t>
      </w:r>
    </w:p>
    <w:p>
      <w:pPr>
        <w:spacing w:line="560" w:lineRule="exact"/>
        <w:ind w:firstLine="640"/>
        <w:jc w:val="both"/>
        <w:rPr>
          <w:rFonts w:hint="eastAsia" w:ascii="仿宋" w:hAnsi="仿宋" w:eastAsia="仿宋"/>
          <w:sz w:val="32"/>
          <w:szCs w:val="32"/>
        </w:rPr>
      </w:pPr>
      <w:r>
        <w:rPr>
          <w:rFonts w:hint="eastAsia" w:ascii="仿宋" w:hAnsi="仿宋" w:eastAsia="仿宋"/>
          <w:sz w:val="32"/>
          <w:szCs w:val="32"/>
        </w:rPr>
        <w:t>区应急管理局建立案件审理制度，对适用一般程序的安全生产行政处罚案件，在报请区应急管理局主管领导审查前，由局法制</w:t>
      </w:r>
      <w:r>
        <w:rPr>
          <w:rFonts w:ascii="仿宋" w:hAnsi="仿宋" w:eastAsia="仿宋"/>
          <w:sz w:val="32"/>
          <w:szCs w:val="32"/>
        </w:rPr>
        <w:t>部门</w:t>
      </w:r>
      <w:r>
        <w:rPr>
          <w:rFonts w:hint="eastAsia" w:ascii="仿宋" w:hAnsi="仿宋" w:eastAsia="仿宋"/>
          <w:sz w:val="32"/>
          <w:szCs w:val="32"/>
        </w:rPr>
        <w:t>进行案件的合法性审核。负责承办案件的安全生产执法人员应当根据审理意见，填写《案件处理呈批表》，连同有关证据材料一并报区应急管理局主管领导审核</w:t>
      </w:r>
      <w:r>
        <w:rPr>
          <w:rFonts w:ascii="仿宋" w:hAnsi="仿宋" w:eastAsia="仿宋"/>
          <w:sz w:val="32"/>
          <w:szCs w:val="32"/>
        </w:rPr>
        <w:t>、主要领导</w:t>
      </w:r>
      <w:r>
        <w:rPr>
          <w:rFonts w:hint="eastAsia" w:ascii="仿宋" w:hAnsi="仿宋" w:eastAsia="仿宋"/>
          <w:sz w:val="32"/>
          <w:szCs w:val="32"/>
        </w:rPr>
        <w:t>审批。</w:t>
      </w:r>
    </w:p>
    <w:p>
      <w:pPr>
        <w:spacing w:line="560" w:lineRule="exact"/>
        <w:ind w:firstLine="640"/>
        <w:jc w:val="both"/>
        <w:rPr>
          <w:rFonts w:ascii="仿宋" w:hAnsi="仿宋" w:eastAsia="仿宋"/>
          <w:b/>
          <w:sz w:val="32"/>
          <w:szCs w:val="32"/>
        </w:rPr>
      </w:pPr>
      <w:r>
        <w:rPr>
          <w:rFonts w:hint="eastAsia" w:ascii="楷体" w:hAnsi="楷体" w:eastAsia="楷体"/>
          <w:b/>
          <w:sz w:val="32"/>
          <w:szCs w:val="32"/>
        </w:rPr>
        <w:t>（四）作出行政处罚决定</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1、行政处罚告知。</w:t>
      </w:r>
      <w:r>
        <w:rPr>
          <w:rFonts w:hint="eastAsia" w:ascii="仿宋" w:hAnsi="仿宋" w:eastAsia="仿宋"/>
          <w:sz w:val="32"/>
          <w:szCs w:val="32"/>
        </w:rPr>
        <w:t>经审批，应当给予行政处罚的案件，区应急管理局在依法作出行政处罚决定之前，应当告知当事人作出行政处罚决定的事实、理由、依据、拟作出的行政处罚决定、当事人享有的陈述和申辩权利等，并向当事人送达《行政处罚告知书》和《行政处罚听证告知书》。符合听证条件的，按照听证程序处理。</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2、听取当事人陈述申辩。</w:t>
      </w:r>
      <w:r>
        <w:rPr>
          <w:rFonts w:hint="eastAsia" w:ascii="仿宋" w:hAnsi="仿宋" w:eastAsia="仿宋"/>
          <w:sz w:val="32"/>
          <w:szCs w:val="32"/>
        </w:rPr>
        <w:t>局各科室听取当事人陈述申辩，除法律法规规定可以采用的方式外，原则上应当形成书面证据证明。没有当事人书面材料的，安全生产行政执法人员应当制作《当事人陈述申辩笔录》。依法履行行政处罚告知程序后，案件承办人员应当对当事人提出的事实、理由和证据进行复核；成立的，应当予以采纳。</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3、</w:t>
      </w:r>
      <w:r>
        <w:rPr>
          <w:rFonts w:hint="eastAsia" w:ascii="仿宋" w:hAnsi="仿宋" w:eastAsia="仿宋"/>
          <w:sz w:val="32"/>
          <w:szCs w:val="32"/>
        </w:rPr>
        <w:t>区应急管理局主管领导应当及时对案件调查结果进行审查，根据不同情况，分别作出以下决定：</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1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①</w:t>
      </w:r>
      <w:r>
        <w:rPr>
          <w:rFonts w:ascii="仿宋" w:hAnsi="仿宋" w:eastAsia="仿宋"/>
          <w:sz w:val="32"/>
          <w:szCs w:val="32"/>
        </w:rPr>
        <w:fldChar w:fldCharType="end"/>
      </w:r>
      <w:r>
        <w:rPr>
          <w:rFonts w:hint="eastAsia" w:ascii="仿宋" w:hAnsi="仿宋" w:eastAsia="仿宋"/>
          <w:sz w:val="32"/>
          <w:szCs w:val="32"/>
        </w:rPr>
        <w:t>确有应受行政处罚的违法行为的，根据情节轻重及具体情况，作出行政处罚决定；</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2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②</w:t>
      </w:r>
      <w:r>
        <w:rPr>
          <w:rFonts w:ascii="仿宋" w:hAnsi="仿宋" w:eastAsia="仿宋"/>
          <w:sz w:val="32"/>
          <w:szCs w:val="32"/>
        </w:rPr>
        <w:fldChar w:fldCharType="end"/>
      </w:r>
      <w:r>
        <w:rPr>
          <w:rFonts w:hint="eastAsia" w:ascii="仿宋" w:hAnsi="仿宋" w:eastAsia="仿宋"/>
          <w:sz w:val="32"/>
          <w:szCs w:val="32"/>
        </w:rPr>
        <w:t>违法行为轻微，依法可以不予行政处罚的，不予行政处罚；</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3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③</w:t>
      </w:r>
      <w:r>
        <w:rPr>
          <w:rFonts w:ascii="仿宋" w:hAnsi="仿宋" w:eastAsia="仿宋"/>
          <w:sz w:val="32"/>
          <w:szCs w:val="32"/>
        </w:rPr>
        <w:fldChar w:fldCharType="end"/>
      </w:r>
      <w:r>
        <w:rPr>
          <w:rFonts w:hint="eastAsia" w:ascii="仿宋" w:hAnsi="仿宋" w:eastAsia="仿宋"/>
          <w:sz w:val="32"/>
          <w:szCs w:val="32"/>
        </w:rPr>
        <w:t>违法事实不能成立的，不得给予行政处罚；</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4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④</w:t>
      </w:r>
      <w:r>
        <w:rPr>
          <w:rFonts w:ascii="仿宋" w:hAnsi="仿宋" w:eastAsia="仿宋"/>
          <w:sz w:val="32"/>
          <w:szCs w:val="32"/>
        </w:rPr>
        <w:fldChar w:fldCharType="end"/>
      </w:r>
      <w:r>
        <w:rPr>
          <w:rFonts w:hint="eastAsia" w:ascii="仿宋" w:hAnsi="仿宋" w:eastAsia="仿宋"/>
          <w:sz w:val="32"/>
          <w:szCs w:val="32"/>
        </w:rPr>
        <w:t>违法行为涉嫌犯罪的，按照有关规定移送司法机关处理。</w:t>
      </w:r>
    </w:p>
    <w:p>
      <w:pPr>
        <w:spacing w:line="560" w:lineRule="exact"/>
        <w:ind w:firstLine="636"/>
        <w:jc w:val="both"/>
        <w:rPr>
          <w:rFonts w:ascii="仿宋" w:hAnsi="仿宋" w:eastAsia="仿宋"/>
          <w:sz w:val="32"/>
          <w:szCs w:val="32"/>
        </w:rPr>
      </w:pPr>
      <w:r>
        <w:rPr>
          <w:rFonts w:hint="eastAsia" w:ascii="仿宋" w:hAnsi="仿宋" w:eastAsia="仿宋"/>
          <w:sz w:val="32"/>
          <w:szCs w:val="32"/>
        </w:rPr>
        <w:t>对严重安全生产违法行为给予责令停产停业整顿、责令停产停业、责令停止建设、责令停止施工、吊销有关许可证、撤销有关执业资格或者岗位证书、5万元以上罚款、没收违法所得5万元以上的行政处罚的，承办案件科室应当提交去应急管理局局会审会，经局负责人集体讨论决定。</w:t>
      </w:r>
    </w:p>
    <w:p>
      <w:pPr>
        <w:spacing w:line="560" w:lineRule="exact"/>
        <w:ind w:firstLine="643" w:firstLineChars="200"/>
        <w:jc w:val="both"/>
        <w:rPr>
          <w:rFonts w:ascii="仿宋" w:hAnsi="仿宋" w:eastAsia="仿宋"/>
          <w:sz w:val="32"/>
          <w:szCs w:val="32"/>
        </w:rPr>
      </w:pPr>
      <w:r>
        <w:rPr>
          <w:rFonts w:hint="eastAsia" w:ascii="仿宋" w:hAnsi="仿宋" w:eastAsia="仿宋"/>
          <w:b/>
          <w:sz w:val="32"/>
          <w:szCs w:val="32"/>
        </w:rPr>
        <w:t>4、行政处罚决定书载明的事项。</w:t>
      </w:r>
      <w:r>
        <w:rPr>
          <w:rFonts w:hint="eastAsia" w:ascii="仿宋" w:hAnsi="仿宋" w:eastAsia="仿宋"/>
          <w:sz w:val="32"/>
          <w:szCs w:val="32"/>
        </w:rPr>
        <w:t>《行政处罚告知书》和《行政处罚听证告知书》送达当事人3个工作日内，行政处罚当事人既不向承办案件处室陈述申辩，也没有提出听证申请的，《行政处罚告知书》送达当事人3个工作日后，承办案件科室应当制作《行政处罚决定书》。《行政处罚决定书》应当载明下列事项：</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1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①</w:t>
      </w:r>
      <w:r>
        <w:rPr>
          <w:rFonts w:ascii="仿宋" w:hAnsi="仿宋" w:eastAsia="仿宋"/>
          <w:sz w:val="32"/>
          <w:szCs w:val="32"/>
        </w:rPr>
        <w:fldChar w:fldCharType="end"/>
      </w:r>
      <w:r>
        <w:rPr>
          <w:rFonts w:hint="eastAsia" w:ascii="仿宋" w:hAnsi="仿宋" w:eastAsia="仿宋"/>
          <w:sz w:val="32"/>
          <w:szCs w:val="32"/>
        </w:rPr>
        <w:t>当事人的姓名或者名称、地址或者住址；</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2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②</w:t>
      </w:r>
      <w:r>
        <w:rPr>
          <w:rFonts w:ascii="仿宋" w:hAnsi="仿宋" w:eastAsia="仿宋"/>
          <w:sz w:val="32"/>
          <w:szCs w:val="32"/>
        </w:rPr>
        <w:fldChar w:fldCharType="end"/>
      </w:r>
      <w:r>
        <w:rPr>
          <w:rFonts w:hint="eastAsia" w:ascii="仿宋" w:hAnsi="仿宋" w:eastAsia="仿宋"/>
          <w:sz w:val="32"/>
          <w:szCs w:val="32"/>
        </w:rPr>
        <w:t>违法事实和证据；</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3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③</w:t>
      </w:r>
      <w:r>
        <w:rPr>
          <w:rFonts w:ascii="仿宋" w:hAnsi="仿宋" w:eastAsia="仿宋"/>
          <w:sz w:val="32"/>
          <w:szCs w:val="32"/>
        </w:rPr>
        <w:fldChar w:fldCharType="end"/>
      </w:r>
      <w:r>
        <w:rPr>
          <w:rFonts w:hint="eastAsia" w:ascii="仿宋" w:hAnsi="仿宋" w:eastAsia="仿宋"/>
          <w:sz w:val="32"/>
          <w:szCs w:val="32"/>
        </w:rPr>
        <w:t>行政处罚的种类和依据；</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4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④</w:t>
      </w:r>
      <w:r>
        <w:rPr>
          <w:rFonts w:ascii="仿宋" w:hAnsi="仿宋" w:eastAsia="仿宋"/>
          <w:sz w:val="32"/>
          <w:szCs w:val="32"/>
        </w:rPr>
        <w:fldChar w:fldCharType="end"/>
      </w:r>
      <w:r>
        <w:rPr>
          <w:rFonts w:hint="eastAsia" w:ascii="仿宋" w:hAnsi="仿宋" w:eastAsia="仿宋"/>
          <w:sz w:val="32"/>
          <w:szCs w:val="32"/>
        </w:rPr>
        <w:t>行政处罚的履行方式和期限；</w:t>
      </w:r>
    </w:p>
    <w:p>
      <w:pPr>
        <w:spacing w:line="560" w:lineRule="exact"/>
        <w:ind w:firstLine="636"/>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5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⑤</w:t>
      </w:r>
      <w:r>
        <w:rPr>
          <w:rFonts w:ascii="仿宋" w:hAnsi="仿宋" w:eastAsia="仿宋"/>
          <w:sz w:val="32"/>
          <w:szCs w:val="32"/>
        </w:rPr>
        <w:fldChar w:fldCharType="end"/>
      </w:r>
      <w:r>
        <w:rPr>
          <w:rFonts w:hint="eastAsia" w:ascii="仿宋" w:hAnsi="仿宋" w:eastAsia="仿宋"/>
          <w:sz w:val="32"/>
          <w:szCs w:val="32"/>
        </w:rPr>
        <w:t>不服行政处罚决定，可以依法在60日内向</w:t>
      </w:r>
      <w:r>
        <w:rPr>
          <w:rFonts w:hint="eastAsia" w:ascii="楷体" w:hAnsi="楷体" w:eastAsia="楷体"/>
          <w:sz w:val="32"/>
          <w:szCs w:val="32"/>
          <w:u w:val="single"/>
        </w:rPr>
        <w:t>峰峰矿区人民政府</w:t>
      </w:r>
      <w:r>
        <w:rPr>
          <w:rFonts w:hint="eastAsia" w:ascii="仿宋" w:hAnsi="仿宋" w:eastAsia="仿宋"/>
          <w:sz w:val="32"/>
          <w:szCs w:val="32"/>
        </w:rPr>
        <w:t>或者</w:t>
      </w:r>
      <w:r>
        <w:rPr>
          <w:rFonts w:hint="eastAsia" w:ascii="楷体" w:hAnsi="楷体" w:eastAsia="楷体"/>
          <w:sz w:val="32"/>
          <w:szCs w:val="32"/>
          <w:u w:val="single"/>
          <w:lang w:eastAsia="zh-CN"/>
        </w:rPr>
        <w:t>峰峰矿区</w:t>
      </w:r>
      <w:r>
        <w:rPr>
          <w:rFonts w:hint="eastAsia" w:ascii="楷体" w:hAnsi="楷体" w:eastAsia="楷体"/>
          <w:sz w:val="32"/>
          <w:szCs w:val="32"/>
          <w:u w:val="single"/>
        </w:rPr>
        <w:t>应急管理局</w:t>
      </w:r>
      <w:r>
        <w:rPr>
          <w:rFonts w:hint="eastAsia" w:ascii="仿宋" w:hAnsi="仿宋" w:eastAsia="仿宋"/>
          <w:sz w:val="32"/>
          <w:szCs w:val="32"/>
        </w:rPr>
        <w:t>申请行政复议，或者在6个月内依法向</w:t>
      </w:r>
      <w:r>
        <w:rPr>
          <w:rFonts w:hint="eastAsia" w:ascii="楷体" w:hAnsi="楷体" w:eastAsia="楷体"/>
          <w:sz w:val="32"/>
          <w:szCs w:val="32"/>
          <w:u w:val="single"/>
        </w:rPr>
        <w:t>峰峰矿区人民法院</w:t>
      </w:r>
      <w:r>
        <w:rPr>
          <w:rFonts w:hint="eastAsia" w:ascii="仿宋" w:hAnsi="仿宋" w:eastAsia="仿宋"/>
          <w:sz w:val="32"/>
          <w:szCs w:val="32"/>
        </w:rPr>
        <w:t>提起行政诉讼；</w:t>
      </w:r>
    </w:p>
    <w:p>
      <w:pPr>
        <w:spacing w:line="560" w:lineRule="exact"/>
        <w:ind w:firstLine="640" w:firstLineChars="200"/>
        <w:jc w:val="both"/>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w:instrText>
      </w:r>
      <w:r>
        <w:rPr>
          <w:rFonts w:hint="eastAsia" w:ascii="仿宋" w:hAnsi="仿宋" w:eastAsia="仿宋"/>
          <w:sz w:val="32"/>
          <w:szCs w:val="32"/>
        </w:rPr>
        <w:instrText xml:space="preserve">= 6 \* GB3</w:instrText>
      </w:r>
      <w:r>
        <w:rPr>
          <w:rFonts w:ascii="仿宋" w:hAnsi="仿宋" w:eastAsia="仿宋"/>
          <w:sz w:val="32"/>
          <w:szCs w:val="32"/>
        </w:rPr>
        <w:instrText xml:space="preserve"> </w:instrText>
      </w:r>
      <w:r>
        <w:rPr>
          <w:rFonts w:ascii="仿宋" w:hAnsi="仿宋" w:eastAsia="仿宋"/>
          <w:sz w:val="32"/>
          <w:szCs w:val="32"/>
        </w:rPr>
        <w:fldChar w:fldCharType="separate"/>
      </w:r>
      <w:r>
        <w:rPr>
          <w:rFonts w:hint="eastAsia" w:ascii="仿宋" w:hAnsi="仿宋" w:eastAsia="仿宋"/>
          <w:sz w:val="32"/>
          <w:szCs w:val="32"/>
        </w:rPr>
        <w:t>⑥</w:t>
      </w:r>
      <w:r>
        <w:rPr>
          <w:rFonts w:ascii="仿宋" w:hAnsi="仿宋" w:eastAsia="仿宋"/>
          <w:sz w:val="32"/>
          <w:szCs w:val="32"/>
        </w:rPr>
        <w:fldChar w:fldCharType="end"/>
      </w:r>
      <w:r>
        <w:rPr>
          <w:rFonts w:hint="eastAsia" w:ascii="仿宋" w:hAnsi="仿宋" w:eastAsia="仿宋"/>
          <w:sz w:val="32"/>
          <w:szCs w:val="32"/>
        </w:rPr>
        <w:t>注明区安全生产监督管理</w:t>
      </w:r>
      <w:r>
        <w:rPr>
          <w:rFonts w:ascii="仿宋" w:hAnsi="仿宋" w:eastAsia="仿宋"/>
          <w:sz w:val="32"/>
          <w:szCs w:val="32"/>
        </w:rPr>
        <w:t>部门</w:t>
      </w:r>
      <w:r>
        <w:rPr>
          <w:rFonts w:hint="eastAsia" w:ascii="仿宋" w:hAnsi="仿宋" w:eastAsia="仿宋"/>
          <w:sz w:val="32"/>
          <w:szCs w:val="32"/>
        </w:rPr>
        <w:t>的名称和作出决定的日期。行政处罚决定书必须盖有区应急管理局的印章。</w:t>
      </w:r>
    </w:p>
    <w:p>
      <w:pPr>
        <w:numPr>
          <w:ilvl w:val="0"/>
          <w:numId w:val="1"/>
        </w:numPr>
        <w:spacing w:line="560" w:lineRule="exact"/>
        <w:ind w:firstLine="643" w:firstLineChars="200"/>
        <w:jc w:val="both"/>
        <w:rPr>
          <w:rFonts w:hint="eastAsia" w:ascii="仿宋" w:hAnsi="仿宋" w:eastAsia="仿宋"/>
          <w:sz w:val="32"/>
          <w:szCs w:val="32"/>
        </w:rPr>
      </w:pPr>
      <w:r>
        <w:rPr>
          <w:rFonts w:hint="eastAsia" w:ascii="仿宋" w:hAnsi="仿宋" w:eastAsia="仿宋"/>
          <w:b/>
          <w:sz w:val="32"/>
          <w:szCs w:val="32"/>
        </w:rPr>
        <w:t>行政处罚时限要求。</w:t>
      </w:r>
      <w:r>
        <w:rPr>
          <w:rFonts w:hint="eastAsia" w:ascii="仿宋" w:hAnsi="仿宋" w:eastAsia="仿宋"/>
          <w:sz w:val="32"/>
          <w:szCs w:val="32"/>
        </w:rPr>
        <w:t>行政处罚案件应当自立案之日起30日内作出行政处罚决定；由于客观原因不能完成的，经区应急管理局负责人同意，可以延长，但不得超过90日。</w:t>
      </w:r>
    </w:p>
    <w:p>
      <w:pPr>
        <w:numPr>
          <w:ilvl w:val="0"/>
          <w:numId w:val="0"/>
        </w:numPr>
        <w:spacing w:line="560" w:lineRule="exact"/>
        <w:ind w:firstLine="643" w:firstLineChars="200"/>
        <w:jc w:val="both"/>
        <w:rPr>
          <w:rFonts w:ascii="楷体" w:hAnsi="楷体" w:eastAsia="楷体"/>
          <w:b/>
          <w:sz w:val="32"/>
          <w:szCs w:val="32"/>
        </w:rPr>
      </w:pPr>
      <w:r>
        <w:rPr>
          <w:rFonts w:hint="eastAsia" w:ascii="楷体" w:hAnsi="楷体" w:eastAsia="楷体"/>
          <w:b/>
          <w:sz w:val="32"/>
          <w:szCs w:val="32"/>
        </w:rPr>
        <w:t>（五）文书送达</w:t>
      </w:r>
    </w:p>
    <w:p>
      <w:pPr>
        <w:spacing w:line="560" w:lineRule="exact"/>
        <w:ind w:firstLine="643" w:firstLineChars="200"/>
        <w:jc w:val="both"/>
        <w:rPr>
          <w:rFonts w:ascii="仿宋" w:hAnsi="仿宋" w:eastAsia="仿宋"/>
          <w:b/>
          <w:sz w:val="32"/>
          <w:szCs w:val="32"/>
        </w:rPr>
      </w:pPr>
      <w:r>
        <w:rPr>
          <w:rFonts w:hint="eastAsia" w:ascii="仿宋" w:hAnsi="仿宋" w:eastAsia="仿宋"/>
          <w:b/>
          <w:sz w:val="32"/>
          <w:szCs w:val="32"/>
        </w:rPr>
        <w:t>1、送达基本要求</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行政处罚决定书应当在宣告后当场交付当事人；当事人不在场的，区应急管理局承办案件科室应当在7日内依照民事诉讼法的有关规定，将行政处罚决定书送达当事人或者其他的法定受送达人。送达必须有送达回执，由受送达人在送达回执上注明收到日期，签名或者盖章。</w:t>
      </w:r>
    </w:p>
    <w:p>
      <w:pPr>
        <w:spacing w:line="560" w:lineRule="exact"/>
        <w:ind w:firstLine="643" w:firstLineChars="200"/>
        <w:jc w:val="both"/>
        <w:rPr>
          <w:rFonts w:ascii="仿宋" w:hAnsi="仿宋" w:eastAsia="仿宋"/>
          <w:b/>
          <w:sz w:val="32"/>
          <w:szCs w:val="32"/>
        </w:rPr>
      </w:pPr>
      <w:r>
        <w:rPr>
          <w:rFonts w:hint="eastAsia" w:ascii="仿宋" w:hAnsi="仿宋" w:eastAsia="仿宋"/>
          <w:b/>
          <w:sz w:val="32"/>
          <w:szCs w:val="32"/>
        </w:rPr>
        <w:t>2、送达方式</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①直接送达。送达一般应当直接送交受送达人。</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受送达人是公民的，应当由本人签收。本人不在的，交他的同住成年家属签收，并在《送达回执》的备注栏内注明与受送达人的关系；</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受送达人是法人或者其他组织的，应当由法人的法定代表人、其他组织的主要负责人或者该法人、组织负责收件的人签收；</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受送达人委托代理人的，交其代理人签收并注明受当事人委托的情况；</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受送达人指定代收人的，交其代收入签收并注明受当事人委托的情况；</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②留置送达。受送达人或者他的同住成年家属拒绝接收的，送达人可以邀请有关基层组织或者所在单位的代表到场，说明情况，在送达回执上记明拒收的事由和日期，由送达人、见证人签名或者盖章，将文书留在受送达人住址；也可以把文书留在受送达人的住所，并采用拍照、录像等方式记录送达过程，即视为送达。有关基层组织和所在单位的代表，可以是受送达人的住所地的居民委员会、村民委员会的工作人员以及受送达人所在单位的工作人员。</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③邮寄送达。直接送达确有困难的，也可以挂号邮寄送达，以回执上注明的收件日期为送达日期。</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④公告送达。受送达人下落不明，或者用以上方式无法送达的，可以公告送达，自公告发布之日起经过60日，即视为送达。公告送达，应当在案卷中注明原因和经过。</w:t>
      </w:r>
    </w:p>
    <w:p>
      <w:pPr>
        <w:spacing w:line="560" w:lineRule="exact"/>
        <w:ind w:firstLine="640" w:firstLineChars="200"/>
        <w:jc w:val="both"/>
        <w:rPr>
          <w:rFonts w:ascii="仿宋" w:hAnsi="仿宋" w:eastAsia="仿宋"/>
          <w:sz w:val="32"/>
          <w:szCs w:val="32"/>
        </w:rPr>
      </w:pPr>
      <w:r>
        <w:rPr>
          <w:rFonts w:hint="eastAsia" w:ascii="仿宋" w:hAnsi="仿宋" w:eastAsia="仿宋"/>
          <w:sz w:val="32"/>
          <w:szCs w:val="32"/>
        </w:rPr>
        <w:t>⑤经受送达人同意，还可以采用传真、电子邮件等能够确认其收悉的方式送达。</w:t>
      </w:r>
    </w:p>
    <w:p>
      <w:pPr>
        <w:spacing w:line="560" w:lineRule="exact"/>
        <w:ind w:firstLine="636"/>
        <w:jc w:val="both"/>
        <w:rPr>
          <w:rFonts w:ascii="仿宋" w:hAnsi="仿宋" w:eastAsia="仿宋"/>
          <w:sz w:val="32"/>
          <w:szCs w:val="32"/>
        </w:rPr>
      </w:pPr>
      <w:r>
        <w:rPr>
          <w:rFonts w:hint="eastAsia" w:ascii="仿宋" w:hAnsi="仿宋" w:eastAsia="仿宋"/>
          <w:sz w:val="32"/>
          <w:szCs w:val="32"/>
        </w:rPr>
        <w:t>⑥法律、法规规定的其他送达方式。</w:t>
      </w:r>
    </w:p>
    <w:p>
      <w:pPr>
        <w:spacing w:line="560" w:lineRule="exact"/>
        <w:ind w:firstLine="643" w:firstLineChars="200"/>
        <w:jc w:val="both"/>
        <w:outlineLvl w:val="1"/>
        <w:rPr>
          <w:rFonts w:ascii="楷体" w:hAnsi="楷体" w:eastAsia="楷体"/>
          <w:b/>
          <w:sz w:val="32"/>
          <w:szCs w:val="32"/>
        </w:rPr>
      </w:pPr>
      <w:bookmarkStart w:id="7" w:name="_Toc21558"/>
      <w:r>
        <w:rPr>
          <w:rFonts w:hint="eastAsia" w:ascii="楷体" w:hAnsi="楷体" w:eastAsia="楷体"/>
          <w:b/>
          <w:sz w:val="32"/>
          <w:szCs w:val="32"/>
        </w:rPr>
        <w:t>第六节</w:t>
      </w:r>
      <w:r>
        <w:rPr>
          <w:rFonts w:hint="eastAsia" w:ascii="楷体" w:hAnsi="楷体" w:eastAsia="楷体"/>
          <w:b/>
          <w:sz w:val="32"/>
          <w:szCs w:val="32"/>
          <w:lang w:val="en-US" w:eastAsia="zh-CN"/>
        </w:rPr>
        <w:t xml:space="preserve">  </w:t>
      </w:r>
      <w:r>
        <w:rPr>
          <w:rFonts w:hint="eastAsia" w:ascii="楷体" w:hAnsi="楷体" w:eastAsia="楷体"/>
          <w:b/>
          <w:sz w:val="32"/>
          <w:szCs w:val="32"/>
        </w:rPr>
        <w:t>当事人的权利和义务</w:t>
      </w:r>
      <w:bookmarkEnd w:id="7"/>
    </w:p>
    <w:p>
      <w:pPr>
        <w:spacing w:line="560" w:lineRule="exact"/>
        <w:ind w:firstLine="640" w:firstLineChars="200"/>
        <w:jc w:val="both"/>
        <w:rPr>
          <w:rFonts w:ascii="仿宋" w:hAnsi="仿宋" w:eastAsia="仿宋"/>
          <w:sz w:val="32"/>
          <w:szCs w:val="32"/>
        </w:rPr>
      </w:pPr>
      <w:r>
        <w:rPr>
          <w:rFonts w:hint="eastAsia" w:ascii="黑体" w:hAnsi="黑体" w:eastAsia="黑体"/>
          <w:sz w:val="32"/>
          <w:szCs w:val="32"/>
        </w:rPr>
        <w:t>一、</w:t>
      </w:r>
      <w:r>
        <w:rPr>
          <w:rFonts w:hint="eastAsia" w:ascii="仿宋" w:hAnsi="仿宋" w:eastAsia="仿宋"/>
          <w:sz w:val="32"/>
          <w:szCs w:val="32"/>
        </w:rPr>
        <w:t>进行案件调查取证时，安全生产执法人员少于两名或未向当事人或者有关人员出示有效的执法证件，表明身份的，可以当场质疑、纠正或举报。</w:t>
      </w:r>
    </w:p>
    <w:p>
      <w:pPr>
        <w:spacing w:line="560" w:lineRule="exact"/>
        <w:ind w:firstLine="640" w:firstLineChars="200"/>
        <w:jc w:val="both"/>
        <w:rPr>
          <w:rFonts w:ascii="仿宋" w:hAnsi="仿宋" w:eastAsia="仿宋"/>
          <w:sz w:val="32"/>
          <w:szCs w:val="32"/>
        </w:rPr>
      </w:pPr>
      <w:r>
        <w:rPr>
          <w:rFonts w:hint="eastAsia" w:ascii="黑体" w:hAnsi="黑体" w:eastAsia="黑体"/>
          <w:sz w:val="32"/>
          <w:szCs w:val="32"/>
        </w:rPr>
        <w:t>二、</w:t>
      </w:r>
      <w:r>
        <w:rPr>
          <w:rFonts w:hint="eastAsia" w:ascii="仿宋" w:hAnsi="仿宋" w:eastAsia="仿宋"/>
          <w:sz w:val="32"/>
          <w:szCs w:val="32"/>
        </w:rPr>
        <w:t>承办案件人员在制作询问或者检查笔录过程中，被询问人、被检查单位具有要求补正的权利。</w:t>
      </w:r>
    </w:p>
    <w:p>
      <w:pPr>
        <w:spacing w:line="560" w:lineRule="exact"/>
        <w:ind w:firstLine="640" w:firstLineChars="200"/>
        <w:jc w:val="both"/>
        <w:rPr>
          <w:rFonts w:ascii="仿宋" w:hAnsi="仿宋" w:eastAsia="仿宋"/>
          <w:sz w:val="32"/>
          <w:szCs w:val="32"/>
        </w:rPr>
      </w:pPr>
      <w:r>
        <w:rPr>
          <w:rFonts w:hint="eastAsia" w:ascii="黑体" w:hAnsi="黑体" w:eastAsia="黑体"/>
          <w:sz w:val="32"/>
          <w:szCs w:val="32"/>
        </w:rPr>
        <w:t>三、</w:t>
      </w:r>
      <w:r>
        <w:rPr>
          <w:rFonts w:hint="eastAsia" w:ascii="仿宋" w:hAnsi="仿宋" w:eastAsia="仿宋"/>
          <w:sz w:val="32"/>
          <w:szCs w:val="32"/>
        </w:rPr>
        <w:t>行政处罚当事人收到《行政处罚告知书》后，3日内依法具有陈述和申辩权，可以申请向案件承办科室    进行申述和申辩。陈述和申辩不具备处罚条件的事实、理由、依据和有关证据材料。</w:t>
      </w:r>
    </w:p>
    <w:p>
      <w:pPr>
        <w:spacing w:line="560" w:lineRule="exact"/>
        <w:ind w:firstLine="636"/>
        <w:jc w:val="both"/>
        <w:rPr>
          <w:rFonts w:ascii="仿宋" w:hAnsi="仿宋" w:eastAsia="仿宋"/>
          <w:sz w:val="32"/>
          <w:szCs w:val="32"/>
        </w:rPr>
      </w:pPr>
      <w:r>
        <w:rPr>
          <w:rFonts w:hint="eastAsia" w:ascii="黑体" w:hAnsi="黑体" w:eastAsia="黑体"/>
          <w:sz w:val="32"/>
          <w:szCs w:val="32"/>
        </w:rPr>
        <w:t>四、</w:t>
      </w:r>
      <w:r>
        <w:rPr>
          <w:rFonts w:hint="eastAsia" w:ascii="仿宋" w:hAnsi="仿宋" w:eastAsia="仿宋"/>
          <w:sz w:val="32"/>
          <w:szCs w:val="32"/>
        </w:rPr>
        <w:t>在行政处罚案件办理过程中，发现安全生产执法人员与本案有利害关系或者符合法律法规规定回避条件的，公民、法人和其他组织可以向区应急管理局提出回避申请。</w:t>
      </w:r>
    </w:p>
    <w:p>
      <w:pPr>
        <w:spacing w:line="560" w:lineRule="exact"/>
        <w:ind w:firstLine="636"/>
        <w:jc w:val="both"/>
        <w:rPr>
          <w:rFonts w:ascii="仿宋" w:hAnsi="仿宋" w:eastAsia="仿宋"/>
          <w:sz w:val="32"/>
          <w:szCs w:val="32"/>
        </w:rPr>
      </w:pPr>
      <w:r>
        <w:rPr>
          <w:rFonts w:hint="eastAsia" w:ascii="黑体" w:hAnsi="黑体" w:eastAsia="黑体"/>
          <w:sz w:val="32"/>
          <w:szCs w:val="32"/>
        </w:rPr>
        <w:t>五、</w:t>
      </w:r>
      <w:r>
        <w:rPr>
          <w:rFonts w:hint="eastAsia" w:ascii="仿宋" w:hAnsi="仿宋" w:eastAsia="仿宋"/>
          <w:sz w:val="32"/>
          <w:szCs w:val="32"/>
        </w:rPr>
        <w:t>超过行政处罚时限要求，行政处罚当事人可以向区应急管理局提出终止处罚的申请。</w:t>
      </w:r>
    </w:p>
    <w:p>
      <w:pPr>
        <w:spacing w:line="560" w:lineRule="exact"/>
        <w:ind w:firstLine="640" w:firstLineChars="200"/>
        <w:jc w:val="both"/>
        <w:rPr>
          <w:rFonts w:ascii="仿宋" w:hAnsi="仿宋" w:eastAsia="仿宋"/>
          <w:sz w:val="32"/>
          <w:szCs w:val="32"/>
        </w:rPr>
      </w:pPr>
      <w:r>
        <w:rPr>
          <w:rFonts w:hint="eastAsia" w:ascii="黑体" w:hAnsi="黑体" w:eastAsia="黑体"/>
          <w:sz w:val="32"/>
          <w:szCs w:val="32"/>
        </w:rPr>
        <w:t>六、</w:t>
      </w:r>
      <w:r>
        <w:rPr>
          <w:rFonts w:hint="eastAsia" w:ascii="仿宋" w:hAnsi="仿宋" w:eastAsia="仿宋"/>
          <w:sz w:val="32"/>
          <w:szCs w:val="32"/>
        </w:rPr>
        <w:t>区应急管理局暂扣有关许可证和暂停有关执业资格、岗位证书的期限超过6个月的，有权向区应急管理局提出解除暂扣或者暂停申请。</w:t>
      </w:r>
    </w:p>
    <w:p>
      <w:pPr>
        <w:spacing w:line="560" w:lineRule="exact"/>
        <w:ind w:firstLine="640" w:firstLineChars="200"/>
        <w:jc w:val="both"/>
        <w:rPr>
          <w:rFonts w:hint="eastAsia" w:ascii="仿宋" w:hAnsi="仿宋" w:eastAsia="仿宋"/>
          <w:sz w:val="32"/>
          <w:szCs w:val="32"/>
        </w:rPr>
      </w:pPr>
      <w:r>
        <w:rPr>
          <w:rFonts w:hint="eastAsia" w:ascii="黑体" w:hAnsi="黑体" w:eastAsia="黑体"/>
          <w:sz w:val="32"/>
          <w:szCs w:val="32"/>
        </w:rPr>
        <w:t>七、</w:t>
      </w:r>
      <w:r>
        <w:rPr>
          <w:rFonts w:hint="eastAsia" w:ascii="仿宋" w:hAnsi="仿宋" w:eastAsia="仿宋"/>
          <w:sz w:val="32"/>
          <w:szCs w:val="32"/>
        </w:rPr>
        <w:t>对区应急管理局作出的行政处罚决定不服的，可以依法在60日内向</w:t>
      </w:r>
      <w:r>
        <w:rPr>
          <w:rFonts w:hint="eastAsia" w:ascii="楷体" w:hAnsi="楷体" w:eastAsia="楷体"/>
          <w:sz w:val="32"/>
          <w:szCs w:val="32"/>
          <w:u w:val="single"/>
        </w:rPr>
        <w:t>峰峰矿区人民政府</w:t>
      </w:r>
      <w:r>
        <w:rPr>
          <w:rFonts w:hint="eastAsia" w:ascii="仿宋" w:hAnsi="仿宋" w:eastAsia="仿宋"/>
          <w:sz w:val="32"/>
          <w:szCs w:val="32"/>
        </w:rPr>
        <w:t>或者</w:t>
      </w:r>
      <w:r>
        <w:rPr>
          <w:rFonts w:hint="eastAsia" w:ascii="楷体" w:hAnsi="楷体" w:eastAsia="楷体"/>
          <w:sz w:val="32"/>
          <w:szCs w:val="32"/>
          <w:u w:val="single"/>
          <w:lang w:eastAsia="zh-CN"/>
        </w:rPr>
        <w:t>峰峰矿区</w:t>
      </w:r>
      <w:r>
        <w:rPr>
          <w:rFonts w:hint="eastAsia" w:ascii="楷体" w:hAnsi="楷体" w:eastAsia="楷体"/>
          <w:sz w:val="32"/>
          <w:szCs w:val="32"/>
          <w:u w:val="single"/>
        </w:rPr>
        <w:t>应急管理局</w:t>
      </w:r>
      <w:r>
        <w:rPr>
          <w:rFonts w:hint="eastAsia" w:ascii="仿宋" w:hAnsi="仿宋" w:eastAsia="仿宋"/>
          <w:sz w:val="32"/>
          <w:szCs w:val="32"/>
        </w:rPr>
        <w:t>申请行政复议，或者在6个月内依法向</w:t>
      </w:r>
      <w:r>
        <w:rPr>
          <w:rFonts w:hint="eastAsia" w:ascii="楷体" w:hAnsi="楷体" w:eastAsia="楷体"/>
          <w:sz w:val="32"/>
          <w:szCs w:val="32"/>
          <w:u w:val="single"/>
        </w:rPr>
        <w:t>峰峰矿区人民法院</w:t>
      </w:r>
      <w:r>
        <w:rPr>
          <w:rFonts w:hint="eastAsia" w:ascii="仿宋" w:hAnsi="仿宋" w:eastAsia="仿宋"/>
          <w:sz w:val="32"/>
          <w:szCs w:val="32"/>
        </w:rPr>
        <w:t>提起行政诉讼；</w:t>
      </w:r>
    </w:p>
    <w:p>
      <w:pPr>
        <w:pStyle w:val="3"/>
        <w:adjustRightInd w:val="0"/>
        <w:snapToGrid w:val="0"/>
        <w:spacing w:before="0" w:after="0" w:line="240" w:lineRule="auto"/>
        <w:outlineLvl w:val="9"/>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rPr>
          <w:rFonts w:ascii="方正小标宋简体" w:hAnsi="方正小标宋简体" w:eastAsia="方正小标宋简体" w:cs="方正小标宋简体"/>
          <w:b w:val="0"/>
          <w:bCs w:val="0"/>
          <w:kern w:val="0"/>
          <w:sz w:val="44"/>
          <w:szCs w:val="44"/>
        </w:rPr>
      </w:pPr>
    </w:p>
    <w:p>
      <w:pPr>
        <w:spacing w:line="560" w:lineRule="exact"/>
        <w:ind w:firstLine="643" w:firstLineChars="200"/>
        <w:jc w:val="both"/>
        <w:outlineLvl w:val="1"/>
        <w:rPr>
          <w:rFonts w:hint="eastAsia" w:ascii="楷体" w:hAnsi="楷体" w:eastAsia="楷体"/>
          <w:b/>
          <w:sz w:val="32"/>
          <w:szCs w:val="32"/>
          <w:lang w:eastAsia="zh-CN"/>
        </w:rPr>
      </w:pPr>
    </w:p>
    <w:p>
      <w:pPr>
        <w:spacing w:line="560" w:lineRule="exact"/>
        <w:ind w:firstLine="643" w:firstLineChars="200"/>
        <w:jc w:val="both"/>
        <w:outlineLvl w:val="1"/>
        <w:rPr>
          <w:rFonts w:hint="eastAsia" w:ascii="楷体" w:hAnsi="楷体" w:eastAsia="楷体"/>
          <w:b/>
          <w:sz w:val="32"/>
          <w:szCs w:val="32"/>
          <w:lang w:eastAsia="zh-CN"/>
        </w:rPr>
      </w:pPr>
    </w:p>
    <w:p>
      <w:pPr>
        <w:spacing w:line="560" w:lineRule="exact"/>
        <w:ind w:firstLine="643" w:firstLineChars="200"/>
        <w:jc w:val="both"/>
        <w:outlineLvl w:val="1"/>
        <w:rPr>
          <w:rFonts w:hint="eastAsia" w:ascii="楷体" w:hAnsi="楷体" w:eastAsia="楷体"/>
          <w:b/>
          <w:sz w:val="32"/>
          <w:szCs w:val="32"/>
          <w:lang w:eastAsia="zh-CN"/>
        </w:rPr>
      </w:pPr>
      <w:bookmarkStart w:id="8" w:name="_Toc28973"/>
      <w:r>
        <w:rPr>
          <w:rFonts w:hint="eastAsia" w:ascii="楷体" w:hAnsi="楷体" w:eastAsia="楷体"/>
          <w:b/>
          <w:sz w:val="32"/>
          <w:szCs w:val="32"/>
          <w:lang w:eastAsia="zh-CN"/>
        </w:rPr>
        <w:t>峰峰矿区应急管理局行政处罚（一般程序）流程图</w:t>
      </w:r>
      <w:bookmarkEnd w:id="8"/>
    </w:p>
    <w:p>
      <w:pPr>
        <w:rPr>
          <w:rFonts w:hint="eastAsia" w:ascii="方正小标宋简体" w:hAnsi="方正小标宋简体" w:eastAsia="方正小标宋简体" w:cs="方正小标宋简体"/>
          <w:b w:val="0"/>
          <w:bCs w:val="0"/>
          <w:kern w:val="0"/>
          <w:sz w:val="44"/>
          <w:szCs w:val="44"/>
          <w:lang w:eastAsia="zh-CN"/>
        </w:rPr>
      </w:pPr>
      <w:r>
        <w:rPr>
          <w:rFonts w:hint="eastAsia" w:ascii="方正小标宋简体" w:hAnsi="方正小标宋简体" w:eastAsia="方正小标宋简体" w:cs="方正小标宋简体"/>
          <w:b w:val="0"/>
          <w:bCs w:val="0"/>
          <w:kern w:val="0"/>
          <w:sz w:val="44"/>
          <w:szCs w:val="44"/>
          <w:lang w:eastAsia="zh-CN"/>
        </w:rPr>
        <w:drawing>
          <wp:anchor distT="0" distB="0" distL="114300" distR="114300" simplePos="0" relativeHeight="251663360" behindDoc="0" locked="0" layoutInCell="1" allowOverlap="1">
            <wp:simplePos x="0" y="0"/>
            <wp:positionH relativeFrom="column">
              <wp:posOffset>9525</wp:posOffset>
            </wp:positionH>
            <wp:positionV relativeFrom="paragraph">
              <wp:posOffset>480695</wp:posOffset>
            </wp:positionV>
            <wp:extent cx="6472555" cy="5083810"/>
            <wp:effectExtent l="0" t="0" r="4445" b="2540"/>
            <wp:wrapTopAndBottom/>
            <wp:docPr id="5" name="图片 5" descr="行政处罚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行政处罚流程图"/>
                    <pic:cNvPicPr>
                      <a:picLocks noChangeAspect="1"/>
                    </pic:cNvPicPr>
                  </pic:nvPicPr>
                  <pic:blipFill>
                    <a:blip r:embed="rId5"/>
                    <a:stretch>
                      <a:fillRect/>
                    </a:stretch>
                  </pic:blipFill>
                  <pic:spPr>
                    <a:xfrm>
                      <a:off x="0" y="0"/>
                      <a:ext cx="6472555" cy="5083810"/>
                    </a:xfrm>
                    <a:prstGeom prst="rect">
                      <a:avLst/>
                    </a:prstGeom>
                  </pic:spPr>
                </pic:pic>
              </a:graphicData>
            </a:graphic>
          </wp:anchor>
        </w:drawing>
      </w:r>
    </w:p>
    <w:p>
      <w:pPr>
        <w:rPr>
          <w:rFonts w:hint="eastAsia" w:ascii="方正小标宋简体" w:hAnsi="方正小标宋简体" w:eastAsia="方正小标宋简体" w:cs="方正小标宋简体"/>
          <w:b w:val="0"/>
          <w:bCs w:val="0"/>
          <w:kern w:val="0"/>
          <w:sz w:val="44"/>
          <w:szCs w:val="44"/>
          <w:lang w:eastAsia="zh-CN"/>
        </w:rPr>
      </w:pPr>
    </w:p>
    <w:p>
      <w:pPr>
        <w:rPr>
          <w:rFonts w:ascii="方正小标宋简体" w:hAnsi="方正小标宋简体" w:eastAsia="方正小标宋简体" w:cs="方正小标宋简体"/>
          <w:b w:val="0"/>
          <w:bCs w:val="0"/>
          <w:kern w:val="0"/>
          <w:sz w:val="44"/>
          <w:szCs w:val="44"/>
        </w:rPr>
      </w:pPr>
    </w:p>
    <w:p>
      <w:pPr>
        <w:spacing w:line="560" w:lineRule="exact"/>
        <w:ind w:firstLine="643" w:firstLineChars="200"/>
        <w:jc w:val="both"/>
        <w:outlineLvl w:val="1"/>
        <w:rPr>
          <w:rFonts w:hint="eastAsia" w:ascii="楷体" w:hAnsi="楷体" w:eastAsia="楷体" w:cstheme="minorBidi"/>
          <w:b/>
          <w:kern w:val="2"/>
          <w:sz w:val="32"/>
          <w:szCs w:val="32"/>
          <w:lang w:val="en-US" w:eastAsia="zh-CN" w:bidi="ar-SA"/>
        </w:rPr>
      </w:pPr>
    </w:p>
    <w:p>
      <w:pPr>
        <w:spacing w:line="560" w:lineRule="exact"/>
        <w:ind w:firstLine="643" w:firstLineChars="200"/>
        <w:jc w:val="both"/>
        <w:outlineLvl w:val="1"/>
        <w:rPr>
          <w:rFonts w:hint="eastAsia" w:ascii="楷体" w:hAnsi="楷体" w:eastAsia="楷体" w:cstheme="minorBidi"/>
          <w:b/>
          <w:kern w:val="2"/>
          <w:sz w:val="32"/>
          <w:szCs w:val="32"/>
          <w:lang w:val="en-US" w:eastAsia="zh-CN" w:bidi="ar-SA"/>
        </w:rPr>
      </w:pPr>
    </w:p>
    <w:p>
      <w:pPr>
        <w:spacing w:line="560" w:lineRule="exact"/>
        <w:ind w:firstLine="643" w:firstLineChars="200"/>
        <w:jc w:val="both"/>
        <w:outlineLvl w:val="1"/>
        <w:rPr>
          <w:rFonts w:hint="eastAsia" w:ascii="楷体" w:hAnsi="楷体" w:eastAsia="楷体" w:cstheme="minorBidi"/>
          <w:b/>
          <w:kern w:val="2"/>
          <w:sz w:val="32"/>
          <w:szCs w:val="32"/>
          <w:lang w:val="en-US" w:eastAsia="zh-CN" w:bidi="ar-SA"/>
        </w:rPr>
      </w:pPr>
    </w:p>
    <w:p>
      <w:pPr>
        <w:spacing w:line="560" w:lineRule="exact"/>
        <w:jc w:val="both"/>
        <w:outlineLvl w:val="0"/>
        <w:rPr>
          <w:rFonts w:hint="eastAsia" w:ascii="宋体" w:hAnsi="宋体" w:eastAsia="宋体"/>
          <w:b/>
          <w:sz w:val="32"/>
          <w:szCs w:val="32"/>
        </w:rPr>
      </w:pPr>
    </w:p>
    <w:p>
      <w:pPr>
        <w:spacing w:line="560" w:lineRule="exact"/>
        <w:jc w:val="center"/>
        <w:outlineLvl w:val="0"/>
        <w:rPr>
          <w:rFonts w:ascii="宋体" w:hAnsi="宋体" w:eastAsia="宋体"/>
          <w:b/>
          <w:sz w:val="32"/>
          <w:szCs w:val="32"/>
        </w:rPr>
      </w:pPr>
      <w:bookmarkStart w:id="9" w:name="_Toc55"/>
      <w:r>
        <w:rPr>
          <w:rFonts w:hint="eastAsia" w:ascii="宋体" w:hAnsi="宋体" w:eastAsia="宋体"/>
          <w:b/>
          <w:sz w:val="32"/>
          <w:szCs w:val="32"/>
        </w:rPr>
        <w:t>第二章 行政强制服务指南</w:t>
      </w:r>
      <w:bookmarkEnd w:id="9"/>
    </w:p>
    <w:p>
      <w:pPr>
        <w:tabs>
          <w:tab w:val="left" w:pos="1558"/>
        </w:tabs>
        <w:spacing w:line="560" w:lineRule="exact"/>
        <w:jc w:val="center"/>
        <w:outlineLvl w:val="1"/>
        <w:rPr>
          <w:rFonts w:ascii="楷体" w:hAnsi="楷体" w:eastAsia="楷体" w:cs="仿宋_GB2312"/>
          <w:b/>
          <w:kern w:val="2"/>
          <w:sz w:val="32"/>
          <w:szCs w:val="32"/>
        </w:rPr>
      </w:pPr>
      <w:bookmarkStart w:id="10" w:name="_Toc4855"/>
      <w:r>
        <w:rPr>
          <w:rFonts w:hint="eastAsia" w:ascii="楷体" w:hAnsi="楷体" w:eastAsia="楷体" w:cs="仿宋_GB2312"/>
          <w:b/>
          <w:kern w:val="2"/>
          <w:sz w:val="32"/>
          <w:szCs w:val="32"/>
        </w:rPr>
        <w:t>第一节 行政强制一般规定</w:t>
      </w:r>
      <w:bookmarkEnd w:id="10"/>
    </w:p>
    <w:p>
      <w:pPr>
        <w:tabs>
          <w:tab w:val="left" w:pos="1558"/>
        </w:tabs>
        <w:spacing w:line="560" w:lineRule="exact"/>
        <w:jc w:val="center"/>
        <w:rPr>
          <w:rFonts w:ascii="楷体" w:hAnsi="楷体" w:eastAsia="楷体" w:cs="仿宋_GB2312"/>
          <w:b/>
          <w:kern w:val="2"/>
          <w:sz w:val="32"/>
          <w:szCs w:val="32"/>
        </w:rPr>
      </w:pPr>
    </w:p>
    <w:p>
      <w:pPr>
        <w:tabs>
          <w:tab w:val="left" w:pos="1558"/>
        </w:tabs>
        <w:spacing w:line="560" w:lineRule="exact"/>
        <w:ind w:firstLine="640" w:firstLineChars="200"/>
        <w:jc w:val="both"/>
        <w:rPr>
          <w:rFonts w:ascii="黑体" w:hAnsi="黑体" w:eastAsia="黑体" w:cs="仿宋_GB2312"/>
          <w:kern w:val="2"/>
          <w:sz w:val="32"/>
          <w:szCs w:val="32"/>
        </w:rPr>
      </w:pPr>
      <w:r>
        <w:rPr>
          <w:rFonts w:hint="eastAsia" w:ascii="黑体" w:hAnsi="黑体" w:eastAsia="黑体" w:cs="仿宋_GB2312"/>
          <w:kern w:val="2"/>
          <w:sz w:val="32"/>
          <w:szCs w:val="32"/>
        </w:rPr>
        <w:t>一、行政强制概念</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安全生产行政强制是指安全生产监督管理部门为预防和制止安全生产违法行为，或者为保证行政决定的履行而对行政相对人采取的强制行为。行政强制分为行政强制措施和行政强制执行。</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（一）行政强制措施。</w:t>
      </w:r>
      <w:r>
        <w:rPr>
          <w:rFonts w:hint="eastAsia" w:ascii="仿宋" w:hAnsi="仿宋" w:eastAsia="仿宋" w:cs="仿宋_GB2312"/>
          <w:kern w:val="2"/>
          <w:sz w:val="32"/>
          <w:szCs w:val="32"/>
        </w:rPr>
        <w:t>行政强制措施是指安全生产监督管理部门在行政管理过程中，为制止违法行为、防止证据损毁、避免危害发生、控制危险扩大等情形，依法对公民、法人或者其他组织的财物实施暂时性控制的行为。</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（二）行政强制执行。</w:t>
      </w:r>
      <w:r>
        <w:rPr>
          <w:rFonts w:hint="eastAsia" w:ascii="仿宋" w:hAnsi="仿宋" w:eastAsia="仿宋" w:cs="仿宋_GB2312"/>
          <w:kern w:val="2"/>
          <w:sz w:val="32"/>
          <w:szCs w:val="32"/>
        </w:rPr>
        <w:t>行政强制执行是指安全生产监督管理部门或者安全生产监督管理部门申请人民法院，对不履行行政决定的公民、法人或者其他组织，依法强制履行义务的行为。</w:t>
      </w:r>
    </w:p>
    <w:p>
      <w:pPr>
        <w:tabs>
          <w:tab w:val="left" w:pos="1558"/>
        </w:tabs>
        <w:spacing w:line="560" w:lineRule="exact"/>
        <w:ind w:firstLine="640" w:firstLineChars="200"/>
        <w:jc w:val="both"/>
        <w:rPr>
          <w:rFonts w:ascii="黑体" w:hAnsi="黑体" w:eastAsia="黑体" w:cs="仿宋_GB2312"/>
          <w:kern w:val="2"/>
          <w:sz w:val="32"/>
          <w:szCs w:val="32"/>
        </w:rPr>
      </w:pPr>
      <w:r>
        <w:rPr>
          <w:rFonts w:hint="eastAsia" w:ascii="黑体" w:hAnsi="黑体" w:eastAsia="黑体" w:cs="仿宋_GB2312"/>
          <w:kern w:val="2"/>
          <w:sz w:val="32"/>
          <w:szCs w:val="32"/>
        </w:rPr>
        <w:t>二、行政强制原则及要求</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（一）峰峰矿区应急管理局实施行政强制，遵循以下原则：</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1、法定原则。实施行政强制应当有法定依据，遵循法定权限、范围、条件和程序。</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2、适当原则。实施行政强制应当兼顾公共利益和当事人合法权益，正确适用法律、法规，选择适当的行政强制方式，以达到行政管理目的为限度。</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3、不得滥用原则。行政强制措施不得滥用，采取其他行政管理措施不能达到管理目的时，才可以依法实施行政强制。</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4、教育与强制相结合原则。实施行政强制应当坚持教育与强制相结合。</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（二）</w:t>
      </w:r>
      <w:r>
        <w:rPr>
          <w:rFonts w:hint="eastAsia" w:ascii="仿宋" w:hAnsi="仿宋" w:eastAsia="仿宋" w:cs="仿宋_GB2312"/>
          <w:kern w:val="2"/>
          <w:sz w:val="32"/>
          <w:szCs w:val="32"/>
        </w:rPr>
        <w:t>区应急管理局各相关科室及其行政执法人员不得利用行政强制权为单位或者个人谋取利益。</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（三）</w:t>
      </w:r>
      <w:r>
        <w:rPr>
          <w:rFonts w:hint="eastAsia" w:ascii="仿宋" w:hAnsi="仿宋" w:eastAsia="仿宋" w:cs="仿宋_GB2312"/>
          <w:kern w:val="2"/>
          <w:sz w:val="32"/>
          <w:szCs w:val="32"/>
        </w:rPr>
        <w:t>区应急管理局各科室履行安全监管职责，依照法律、法规的规定，实施行政强制措施。违法行为情节显著轻微或者没有明显社会危害的，可以不采取行政强制措施。</w:t>
      </w:r>
    </w:p>
    <w:p>
      <w:pPr>
        <w:tabs>
          <w:tab w:val="left" w:pos="1558"/>
        </w:tabs>
        <w:spacing w:line="560" w:lineRule="exact"/>
        <w:ind w:firstLine="643" w:firstLineChars="200"/>
        <w:jc w:val="center"/>
        <w:outlineLvl w:val="1"/>
        <w:rPr>
          <w:rFonts w:ascii="楷体" w:hAnsi="楷体" w:eastAsia="楷体" w:cs="仿宋_GB2312"/>
          <w:b/>
          <w:sz w:val="32"/>
          <w:szCs w:val="32"/>
        </w:rPr>
      </w:pPr>
      <w:bookmarkStart w:id="11" w:name="_Toc1549"/>
      <w:r>
        <w:rPr>
          <w:rFonts w:hint="eastAsia" w:ascii="楷体" w:hAnsi="楷体" w:eastAsia="楷体" w:cs="仿宋_GB2312"/>
          <w:b/>
          <w:kern w:val="2"/>
          <w:sz w:val="32"/>
          <w:szCs w:val="32"/>
        </w:rPr>
        <w:t>第二节 行政强制措施</w:t>
      </w:r>
      <w:bookmarkEnd w:id="11"/>
    </w:p>
    <w:p>
      <w:pPr>
        <w:tabs>
          <w:tab w:val="left" w:pos="1558"/>
        </w:tabs>
        <w:spacing w:line="560" w:lineRule="exact"/>
        <w:ind w:firstLine="640" w:firstLineChars="200"/>
        <w:jc w:val="both"/>
        <w:rPr>
          <w:rFonts w:ascii="黑体" w:hAnsi="黑体" w:eastAsia="黑体" w:cs="仿宋_GB2312"/>
          <w:kern w:val="2"/>
          <w:sz w:val="32"/>
          <w:szCs w:val="32"/>
        </w:rPr>
      </w:pPr>
      <w:r>
        <w:rPr>
          <w:rFonts w:hint="eastAsia" w:ascii="黑体" w:hAnsi="黑体" w:eastAsia="黑体" w:cs="仿宋_GB2312"/>
          <w:kern w:val="2"/>
          <w:sz w:val="32"/>
          <w:szCs w:val="32"/>
        </w:rPr>
        <w:t>一、一般程序</w:t>
      </w:r>
    </w:p>
    <w:p>
      <w:pPr>
        <w:tabs>
          <w:tab w:val="left" w:pos="1558"/>
        </w:tabs>
        <w:spacing w:line="560" w:lineRule="exact"/>
        <w:ind w:firstLine="643" w:firstLineChars="200"/>
        <w:jc w:val="both"/>
        <w:rPr>
          <w:rFonts w:ascii="仿宋" w:hAnsi="仿宋" w:eastAsia="仿宋" w:cs="仿宋_GB2312"/>
          <w:kern w:val="2"/>
          <w:sz w:val="32"/>
          <w:szCs w:val="32"/>
        </w:rPr>
      </w:pPr>
      <w:r>
        <w:rPr>
          <w:rFonts w:hint="eastAsia" w:ascii="楷体" w:hAnsi="楷体" w:eastAsia="楷体" w:cs="仿宋_GB2312"/>
          <w:b/>
          <w:kern w:val="2"/>
          <w:sz w:val="32"/>
          <w:szCs w:val="32"/>
        </w:rPr>
        <w:t>（一）</w:t>
      </w:r>
      <w:r>
        <w:rPr>
          <w:rFonts w:hint="eastAsia" w:ascii="仿宋" w:hAnsi="仿宋" w:eastAsia="仿宋" w:cs="仿宋_GB2312"/>
          <w:kern w:val="2"/>
          <w:sz w:val="32"/>
          <w:szCs w:val="32"/>
        </w:rPr>
        <w:t>行政强制措施由区应急管理局在法定职权范围内实施，行政强制措施权不得委托。行政强制措施应当由区应急管理局具备资格的行政执法人员实施，其他人员不得实施。</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（二）</w:t>
      </w:r>
      <w:r>
        <w:rPr>
          <w:rFonts w:hint="eastAsia" w:ascii="仿宋" w:hAnsi="仿宋" w:eastAsia="仿宋" w:cs="仿宋_GB2312"/>
          <w:kern w:val="2"/>
          <w:sz w:val="32"/>
          <w:szCs w:val="32"/>
        </w:rPr>
        <w:t>区应急管理局各科室实施行政强制措施遵守下列规定：</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1、实施前须向区应急管理局局长报告并经批准，对影响重大的行政强制措施应由区应急管理局会审会集体讨论决定，并制定相应应急预案；</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2、由两名以上行政执法人员实施；</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3、出示执法身份证件；</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4、通知当事人到场；</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5、当场告知当事人采取行政强制措施的理由、依据以及当事人依法享有的权利、救济途径；</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6、听取当事人的陈述和申辩；</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7、制作现场笔录；</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8、现场笔录由当事人和行政执法人员签名或者盖章，当事人拒绝的，在笔录中予以注明；</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9、当事人不到场的，邀请见证人到场，由见证人和行政执法人员在现场笔录上签名或者盖章；</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10、法律、法规规定的其他程序。</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（三）</w:t>
      </w:r>
      <w:r>
        <w:rPr>
          <w:rFonts w:hint="eastAsia" w:ascii="仿宋" w:hAnsi="仿宋" w:eastAsia="仿宋" w:cs="仿宋_GB2312"/>
          <w:kern w:val="2"/>
          <w:sz w:val="32"/>
          <w:szCs w:val="32"/>
        </w:rPr>
        <w:t>情况紧急，需要当场实施行政强制措施的，行政执法人员应当在</w:t>
      </w:r>
      <w:r>
        <w:rPr>
          <w:rFonts w:hint="eastAsia" w:ascii="仿宋" w:hAnsi="仿宋" w:eastAsia="仿宋" w:cs="仿宋_GB2312"/>
          <w:kern w:val="2"/>
          <w:sz w:val="32"/>
          <w:szCs w:val="32"/>
          <w:lang w:val="en-US" w:eastAsia="zh-CN"/>
        </w:rPr>
        <w:t>24</w:t>
      </w:r>
      <w:r>
        <w:rPr>
          <w:rFonts w:hint="eastAsia" w:ascii="仿宋" w:hAnsi="仿宋" w:eastAsia="仿宋" w:cs="仿宋_GB2312"/>
          <w:kern w:val="2"/>
          <w:sz w:val="32"/>
          <w:szCs w:val="32"/>
        </w:rPr>
        <w:t>小时内向区应急管理局局长报告，并补办批准手续。局长认为不应当采取行政强制措施的，应当立即解除。</w:t>
      </w:r>
    </w:p>
    <w:p>
      <w:pPr>
        <w:tabs>
          <w:tab w:val="left" w:pos="1558"/>
        </w:tabs>
        <w:spacing w:line="560" w:lineRule="exact"/>
        <w:jc w:val="both"/>
        <w:rPr>
          <w:rFonts w:ascii="黑体" w:hAnsi="黑体" w:eastAsia="黑体" w:cs="仿宋_GB2312"/>
          <w:kern w:val="2"/>
          <w:sz w:val="32"/>
          <w:szCs w:val="32"/>
        </w:rPr>
      </w:pPr>
      <w:r>
        <w:rPr>
          <w:rFonts w:hint="eastAsia" w:ascii="楷体" w:hAnsi="楷体" w:eastAsia="楷体" w:cs="仿宋_GB2312"/>
          <w:b/>
          <w:kern w:val="2"/>
          <w:sz w:val="32"/>
          <w:szCs w:val="32"/>
          <w:lang w:val="en-US" w:eastAsia="zh-CN"/>
        </w:rPr>
        <w:t xml:space="preserve">   </w:t>
      </w:r>
      <w:r>
        <w:rPr>
          <w:rFonts w:hint="eastAsia" w:ascii="黑体" w:hAnsi="黑体" w:eastAsia="黑体" w:cs="仿宋_GB2312"/>
          <w:kern w:val="2"/>
          <w:sz w:val="32"/>
          <w:szCs w:val="32"/>
        </w:rPr>
        <w:t>二、查封、扣押</w:t>
      </w:r>
    </w:p>
    <w:p>
      <w:pPr>
        <w:tabs>
          <w:tab w:val="left" w:pos="1558"/>
        </w:tabs>
        <w:spacing w:line="560" w:lineRule="exact"/>
        <w:ind w:firstLine="643" w:firstLineChars="200"/>
        <w:jc w:val="both"/>
        <w:rPr>
          <w:rFonts w:ascii="仿宋" w:hAnsi="仿宋" w:eastAsia="仿宋" w:cs="仿宋_GB2312"/>
          <w:kern w:val="2"/>
          <w:sz w:val="32"/>
          <w:szCs w:val="32"/>
        </w:rPr>
      </w:pPr>
      <w:r>
        <w:rPr>
          <w:rFonts w:hint="eastAsia" w:ascii="楷体" w:hAnsi="楷体" w:eastAsia="楷体" w:cs="仿宋_GB2312"/>
          <w:b/>
          <w:kern w:val="2"/>
          <w:sz w:val="32"/>
          <w:szCs w:val="32"/>
        </w:rPr>
        <w:t>（一）</w:t>
      </w:r>
      <w:r>
        <w:rPr>
          <w:rFonts w:hint="eastAsia" w:ascii="仿宋" w:hAnsi="仿宋" w:eastAsia="仿宋" w:cs="仿宋_GB2312"/>
          <w:kern w:val="2"/>
          <w:sz w:val="32"/>
          <w:szCs w:val="32"/>
        </w:rPr>
        <w:t>查封、扣押的条件。区应急管理局各业务科室在开展安全生产行政执法工作过程中，对有根据认为不符合保障安全生产的国家标准或者行业标准的设施、设备、器材以及违法生产、储存、使用、经营、运输的危险物品予以查封或者扣押，对违法生产、储存、使用、经营危险物品的作业场所予以查封，或者采取有关安全生产法律、法规规定的其他查封、扣押措施，并依法作出处理决定。查封、扣押限于涉案的场所、设施或者设备、器材等财物，不得查封、扣押与违法行为无关的场所、设施、设备、器材。</w:t>
      </w:r>
    </w:p>
    <w:p>
      <w:pPr>
        <w:tabs>
          <w:tab w:val="left" w:pos="1558"/>
        </w:tabs>
        <w:spacing w:line="560" w:lineRule="exact"/>
        <w:ind w:firstLine="640" w:firstLineChars="200"/>
        <w:jc w:val="both"/>
        <w:rPr>
          <w:rFonts w:ascii="仿宋" w:hAnsi="仿宋" w:eastAsia="仿宋" w:cs="仿宋_GB2312"/>
          <w:kern w:val="2"/>
          <w:sz w:val="32"/>
          <w:szCs w:val="32"/>
        </w:rPr>
      </w:pPr>
      <w:r>
        <w:rPr>
          <w:rFonts w:hint="eastAsia" w:ascii="仿宋" w:hAnsi="仿宋" w:eastAsia="仿宋" w:cs="仿宋_GB2312"/>
          <w:kern w:val="2"/>
          <w:sz w:val="32"/>
          <w:szCs w:val="32"/>
        </w:rPr>
        <w:t>当事人的涉案场所、设施或者设备、器材等财物已被其他国家机关依法查封的，不得重复查封。</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（二）</w:t>
      </w:r>
      <w:r>
        <w:rPr>
          <w:rFonts w:hint="eastAsia" w:ascii="仿宋" w:hAnsi="仿宋" w:eastAsia="仿宋" w:cs="仿宋_GB2312"/>
          <w:kern w:val="2"/>
          <w:sz w:val="32"/>
          <w:szCs w:val="32"/>
        </w:rPr>
        <w:t>报告批准。行政执法人员实施查封、扣押前，应当向区应急管理局局长报告并经批准。</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（三）</w:t>
      </w:r>
      <w:r>
        <w:rPr>
          <w:rFonts w:hint="eastAsia" w:ascii="仿宋" w:hAnsi="仿宋" w:eastAsia="仿宋" w:cs="仿宋_GB2312"/>
          <w:kern w:val="2"/>
          <w:sz w:val="32"/>
          <w:szCs w:val="32"/>
        </w:rPr>
        <w:t>制作并当场交付《查封扣押决定书》和《查封、扣押（场所、设施、财物）清单》。</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1、《查封扣押决定书》应当包括如下内容：</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当事人的姓名或者名称、地址；查封、扣押的理由、依据和期限；查封、扣押场所、设施或者财物的名称、数量等；申请行政复议或者提起行政诉讼的途径和期限；安全生产监督管理部门的名称、印章和日期。</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2、《查封扣押（场所、设施、财物）清单》一式两份，分别由当事人和区应急管理局保存。</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（四）</w:t>
      </w:r>
      <w:r>
        <w:rPr>
          <w:rFonts w:hint="eastAsia" w:ascii="仿宋" w:hAnsi="仿宋" w:eastAsia="仿宋" w:cs="仿宋_GB2312"/>
          <w:kern w:val="2"/>
          <w:sz w:val="32"/>
          <w:szCs w:val="32"/>
        </w:rPr>
        <w:t>对查封、扣押的场所、设施或者财物妥善保管。查封涉案物品时，区应急管理局各科室行政执法人员应当会同当事人对拟查封物品的具体情况认真清点核实和确认。</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对查封的场所、设施或者财物，区应急管理局可以委托第三人保管，第三人不得损毁或者擅自转移、处置。因第三人的原因造成的损失，区应急管理局有权向第三人追偿。</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因查封、扣押发生的保管费用由区应急管理局承担。</w:t>
      </w:r>
    </w:p>
    <w:p>
      <w:pPr>
        <w:tabs>
          <w:tab w:val="left" w:pos="1558"/>
        </w:tabs>
        <w:spacing w:line="560" w:lineRule="exact"/>
        <w:ind w:firstLine="643" w:firstLineChars="200"/>
        <w:jc w:val="both"/>
        <w:rPr>
          <w:rFonts w:ascii="仿宋" w:hAnsi="仿宋" w:eastAsia="仿宋" w:cs="仿宋_GB2312"/>
          <w:sz w:val="32"/>
          <w:szCs w:val="32"/>
        </w:rPr>
      </w:pPr>
      <w:r>
        <w:rPr>
          <w:rFonts w:hint="eastAsia" w:ascii="楷体" w:hAnsi="楷体" w:eastAsia="楷体" w:cs="仿宋_GB2312"/>
          <w:b/>
          <w:kern w:val="2"/>
          <w:sz w:val="32"/>
          <w:szCs w:val="32"/>
        </w:rPr>
        <w:t>（五）</w:t>
      </w:r>
      <w:r>
        <w:rPr>
          <w:rFonts w:hint="eastAsia" w:ascii="仿宋" w:hAnsi="仿宋" w:eastAsia="仿宋" w:cs="仿宋_GB2312"/>
          <w:kern w:val="2"/>
          <w:sz w:val="32"/>
          <w:szCs w:val="32"/>
        </w:rPr>
        <w:t xml:space="preserve"> 查封、扣押期限。</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1、查封、扣押期限不得超过30日，案情重大、复杂的，经区应急管理局局长批准可以延长</w:t>
      </w:r>
      <w:r>
        <w:rPr>
          <w:rFonts w:hint="eastAsia" w:ascii="仿宋" w:hAnsi="仿宋" w:eastAsia="仿宋" w:cs="仿宋_GB2312"/>
          <w:kern w:val="2"/>
          <w:sz w:val="32"/>
          <w:szCs w:val="32"/>
          <w:lang w:val="en-US" w:eastAsia="zh-CN"/>
        </w:rPr>
        <w:t>30</w:t>
      </w:r>
      <w:r>
        <w:rPr>
          <w:rFonts w:hint="eastAsia" w:ascii="仿宋" w:hAnsi="仿宋" w:eastAsia="仿宋" w:cs="仿宋_GB2312"/>
          <w:kern w:val="2"/>
          <w:sz w:val="32"/>
          <w:szCs w:val="32"/>
        </w:rPr>
        <w:t>日；法律、行政法规另有规定的除外。</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延长查封、扣押的决定应当及时书面告知当事人，并说明理由。</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2、对物品需要进行检测、检验或者技术鉴定的，查封、扣押的期间不包括检测、检验或者技术鉴定的期间。检测、检验或者技术鉴定的期间应当明确，并书面告知当事人。</w:t>
      </w:r>
    </w:p>
    <w:p>
      <w:pPr>
        <w:tabs>
          <w:tab w:val="left" w:pos="1558"/>
        </w:tabs>
        <w:spacing w:line="560" w:lineRule="exact"/>
        <w:ind w:firstLine="643" w:firstLineChars="200"/>
        <w:jc w:val="both"/>
        <w:rPr>
          <w:rFonts w:ascii="楷体" w:hAnsi="楷体" w:eastAsia="楷体" w:cs="仿宋_GB2312"/>
          <w:b/>
          <w:sz w:val="32"/>
          <w:szCs w:val="32"/>
        </w:rPr>
      </w:pPr>
      <w:r>
        <w:rPr>
          <w:rFonts w:hint="eastAsia" w:ascii="楷体" w:hAnsi="楷体" w:eastAsia="楷体" w:cs="仿宋_GB2312"/>
          <w:b/>
          <w:kern w:val="2"/>
          <w:sz w:val="32"/>
          <w:szCs w:val="32"/>
        </w:rPr>
        <w:t>（六） 解除查封、扣押决定。</w:t>
      </w:r>
    </w:p>
    <w:p>
      <w:pPr>
        <w:tabs>
          <w:tab w:val="left" w:pos="1558"/>
        </w:tabs>
        <w:spacing w:line="560" w:lineRule="exact"/>
        <w:ind w:firstLine="640" w:firstLineChars="200"/>
        <w:jc w:val="both"/>
        <w:rPr>
          <w:rFonts w:ascii="仿宋" w:hAnsi="仿宋" w:eastAsia="仿宋" w:cs="仿宋_GB2312"/>
          <w:sz w:val="32"/>
          <w:szCs w:val="32"/>
        </w:rPr>
      </w:pPr>
      <w:r>
        <w:rPr>
          <w:rFonts w:hint="eastAsia" w:ascii="仿宋" w:hAnsi="仿宋" w:eastAsia="仿宋" w:cs="仿宋_GB2312"/>
          <w:kern w:val="2"/>
          <w:sz w:val="32"/>
          <w:szCs w:val="32"/>
        </w:rPr>
        <w:t>1、有下列情形之一的，安全生产监督管理部门应当及时作出解除查封、扣押决定：当事人没有违法行为；查封、扣押的场所、设施或者财物与违法行为无关；安全生产监督管理部门对违法行为已经作出处理决定，不再需要查封、扣押；查封、扣押期限已经届满；其他不再需要采取查封、扣押措施的情形。</w:t>
      </w:r>
    </w:p>
    <w:p>
      <w:pPr>
        <w:tabs>
          <w:tab w:val="left" w:pos="1558"/>
        </w:tabs>
        <w:spacing w:line="560" w:lineRule="exact"/>
        <w:ind w:firstLine="640" w:firstLineChars="200"/>
        <w:jc w:val="both"/>
        <w:rPr>
          <w:rFonts w:ascii="仿宋" w:hAnsi="仿宋" w:eastAsia="仿宋" w:cs="仿宋_GB2312"/>
          <w:kern w:val="2"/>
          <w:sz w:val="32"/>
          <w:szCs w:val="32"/>
        </w:rPr>
      </w:pPr>
      <w:r>
        <w:rPr>
          <w:rFonts w:hint="eastAsia" w:ascii="仿宋" w:hAnsi="仿宋" w:eastAsia="仿宋" w:cs="仿宋_GB2312"/>
          <w:kern w:val="2"/>
          <w:sz w:val="32"/>
          <w:szCs w:val="32"/>
        </w:rPr>
        <w:t>2、解除查封、扣押应当立即退还财物；已将财物拍卖或者变卖的，退还拍卖或者变卖所得款项。变卖价格明显低于市场价格，给当事人造成损失的，应当给予补偿。</w:t>
      </w:r>
    </w:p>
    <w:p>
      <w:pPr>
        <w:tabs>
          <w:tab w:val="left" w:pos="1558"/>
        </w:tabs>
        <w:spacing w:line="560" w:lineRule="exact"/>
        <w:ind w:firstLine="643" w:firstLineChars="200"/>
        <w:jc w:val="both"/>
        <w:rPr>
          <w:rFonts w:hint="eastAsia" w:ascii="仿宋" w:hAnsi="仿宋" w:eastAsia="楷体" w:cs="仿宋_GB2312"/>
          <w:sz w:val="32"/>
          <w:szCs w:val="32"/>
          <w:lang w:eastAsia="zh-CN"/>
        </w:rPr>
      </w:pPr>
      <w:r>
        <w:rPr>
          <w:rFonts w:hint="eastAsia" w:ascii="楷体" w:hAnsi="楷体" w:eastAsia="楷体" w:cs="仿宋_GB2312"/>
          <w:b/>
          <w:kern w:val="2"/>
          <w:sz w:val="32"/>
          <w:szCs w:val="32"/>
        </w:rPr>
        <w:t>（七）行政强制（查封扣押）流程图</w:t>
      </w:r>
      <w:r>
        <w:rPr>
          <w:rFonts w:hint="eastAsia" w:ascii="楷体" w:hAnsi="楷体" w:eastAsia="楷体" w:cs="仿宋_GB2312"/>
          <w:b/>
          <w:kern w:val="2"/>
          <w:sz w:val="32"/>
          <w:szCs w:val="32"/>
          <w:lang w:eastAsia="zh-CN"/>
        </w:rPr>
        <w:t>。</w:t>
      </w:r>
    </w:p>
    <w:p>
      <w:pPr>
        <w:tabs>
          <w:tab w:val="left" w:pos="1558"/>
        </w:tabs>
        <w:spacing w:line="560" w:lineRule="exact"/>
        <w:ind w:firstLine="643" w:firstLineChars="200"/>
        <w:jc w:val="center"/>
        <w:outlineLvl w:val="1"/>
        <w:rPr>
          <w:rFonts w:ascii="楷体" w:hAnsi="楷体" w:eastAsia="楷体" w:cs="仿宋_GB2312"/>
          <w:b/>
          <w:sz w:val="32"/>
          <w:szCs w:val="32"/>
        </w:rPr>
      </w:pPr>
      <w:bookmarkStart w:id="12" w:name="_Toc10744"/>
      <w:r>
        <w:rPr>
          <w:rFonts w:hint="eastAsia" w:ascii="楷体" w:hAnsi="楷体" w:eastAsia="楷体" w:cs="仿宋_GB2312"/>
          <w:b/>
          <w:kern w:val="2"/>
          <w:sz w:val="32"/>
          <w:szCs w:val="32"/>
        </w:rPr>
        <w:t>第三节</w:t>
      </w:r>
      <w:r>
        <w:rPr>
          <w:rFonts w:hint="eastAsia" w:ascii="楷体" w:hAnsi="楷体" w:eastAsia="楷体" w:cs="仿宋_GB2312"/>
          <w:b/>
          <w:kern w:val="2"/>
          <w:sz w:val="32"/>
          <w:szCs w:val="32"/>
          <w:lang w:val="en-US" w:eastAsia="zh-CN"/>
        </w:rPr>
        <w:t xml:space="preserve"> </w:t>
      </w:r>
      <w:r>
        <w:rPr>
          <w:rFonts w:hint="eastAsia" w:ascii="楷体" w:hAnsi="楷体" w:eastAsia="楷体" w:cs="仿宋_GB2312"/>
          <w:b/>
          <w:kern w:val="2"/>
          <w:sz w:val="32"/>
          <w:szCs w:val="32"/>
        </w:rPr>
        <w:t>行政强制执行</w:t>
      </w:r>
      <w:bookmarkEnd w:id="12"/>
    </w:p>
    <w:p>
      <w:pPr>
        <w:tabs>
          <w:tab w:val="left" w:pos="1558"/>
        </w:tabs>
        <w:spacing w:line="560" w:lineRule="exact"/>
        <w:ind w:firstLine="640" w:firstLineChars="200"/>
        <w:jc w:val="both"/>
        <w:rPr>
          <w:rFonts w:ascii="黑体" w:hAnsi="黑体" w:eastAsia="黑体" w:cs="仿宋_GB2312"/>
          <w:kern w:val="2"/>
          <w:sz w:val="32"/>
          <w:szCs w:val="32"/>
        </w:rPr>
      </w:pPr>
      <w:r>
        <w:rPr>
          <w:rFonts w:hint="eastAsia" w:ascii="黑体" w:hAnsi="黑体" w:eastAsia="黑体" w:cs="仿宋_GB2312"/>
          <w:kern w:val="2"/>
          <w:sz w:val="32"/>
          <w:szCs w:val="32"/>
        </w:rPr>
        <w:t>一、一般规定</w:t>
      </w:r>
    </w:p>
    <w:p>
      <w:pPr>
        <w:tabs>
          <w:tab w:val="left" w:pos="1558"/>
        </w:tabs>
        <w:spacing w:line="560" w:lineRule="exact"/>
        <w:ind w:firstLine="640" w:firstLineChars="200"/>
        <w:jc w:val="both"/>
        <w:rPr>
          <w:rFonts w:ascii="楷体" w:hAnsi="楷体" w:eastAsia="楷体" w:cs="仿宋_GB2312"/>
          <w:b/>
          <w:kern w:val="2"/>
          <w:sz w:val="32"/>
          <w:szCs w:val="32"/>
        </w:rPr>
      </w:pPr>
      <w:r>
        <w:rPr>
          <w:rFonts w:hint="eastAsia" w:ascii="仿宋_GB2312" w:hAnsi="仿宋_GB2312" w:eastAsia="仿宋_GB2312" w:cs="仿宋_GB2312"/>
          <w:kern w:val="2"/>
          <w:sz w:val="32"/>
          <w:szCs w:val="32"/>
        </w:rPr>
        <w:t>区</w:t>
      </w:r>
      <w:r>
        <w:rPr>
          <w:rFonts w:hint="eastAsia" w:ascii="仿宋_GB2312" w:hAnsi="仿宋_GB2312" w:eastAsia="仿宋_GB2312" w:cs="仿宋_GB2312"/>
          <w:kern w:val="2"/>
          <w:sz w:val="32"/>
          <w:szCs w:val="32"/>
          <w:lang w:eastAsia="zh-CN"/>
        </w:rPr>
        <w:t>应急</w:t>
      </w:r>
      <w:r>
        <w:rPr>
          <w:rFonts w:hint="eastAsia" w:ascii="仿宋_GB2312" w:hAnsi="仿宋_GB2312" w:eastAsia="仿宋_GB2312" w:cs="仿宋_GB2312"/>
          <w:kern w:val="2"/>
          <w:sz w:val="32"/>
          <w:szCs w:val="32"/>
        </w:rPr>
        <w:t>管理局依法作出行政决定后，行政相对人在区应急管理局决定的期限内不履行的，区应急管理局依照《行政强制法》《行政处罚法》《安全生产法》的相关规定，可以采取加处罚款，将查封、扣押的财物依法拍卖抵缴罚款以及通知有关单位停止供电、停止供应民用爆炸物品等措施，或者申请人民法院强制执行。</w:t>
      </w:r>
    </w:p>
    <w:p>
      <w:pPr>
        <w:tabs>
          <w:tab w:val="left" w:pos="1558"/>
        </w:tabs>
        <w:spacing w:line="560" w:lineRule="exact"/>
        <w:ind w:firstLine="640" w:firstLineChars="200"/>
        <w:jc w:val="both"/>
        <w:rPr>
          <w:rFonts w:ascii="黑体" w:hAnsi="黑体" w:eastAsia="黑体" w:cs="仿宋_GB2312"/>
          <w:kern w:val="2"/>
          <w:sz w:val="32"/>
          <w:szCs w:val="32"/>
        </w:rPr>
      </w:pPr>
      <w:r>
        <w:rPr>
          <w:rFonts w:hint="eastAsia" w:ascii="黑体" w:hAnsi="黑体" w:eastAsia="黑体" w:cs="仿宋_GB2312"/>
          <w:kern w:val="2"/>
          <w:sz w:val="32"/>
          <w:szCs w:val="32"/>
        </w:rPr>
        <w:t>二、对逾期不缴纳罚款的加处罚款</w:t>
      </w:r>
    </w:p>
    <w:p>
      <w:pPr>
        <w:tabs>
          <w:tab w:val="left" w:pos="1558"/>
        </w:tabs>
        <w:spacing w:line="560" w:lineRule="exact"/>
        <w:ind w:firstLine="643" w:firstLineChars="200"/>
        <w:jc w:val="both"/>
        <w:rPr>
          <w:rFonts w:ascii="仿宋_GB2312" w:hAnsi="仿宋_GB2312" w:eastAsia="仿宋_GB2312" w:cs="仿宋_GB2312"/>
          <w:kern w:val="2"/>
          <w:sz w:val="32"/>
          <w:szCs w:val="32"/>
        </w:rPr>
      </w:pPr>
      <w:r>
        <w:rPr>
          <w:rFonts w:hint="eastAsia" w:ascii="楷体" w:hAnsi="楷体" w:eastAsia="楷体" w:cs="仿宋_GB2312"/>
          <w:b/>
          <w:kern w:val="2"/>
          <w:sz w:val="32"/>
          <w:szCs w:val="32"/>
        </w:rPr>
        <w:t>（一）</w:t>
      </w:r>
      <w:r>
        <w:rPr>
          <w:rFonts w:hint="eastAsia" w:ascii="仿宋_GB2312" w:hAnsi="仿宋_GB2312" w:eastAsia="仿宋_GB2312" w:cs="仿宋_GB2312"/>
          <w:kern w:val="2"/>
          <w:sz w:val="32"/>
          <w:szCs w:val="32"/>
        </w:rPr>
        <w:t>行政处罚决定依法作出后，当事人应当在行政处罚决定的期限内，予以履行；当事人逾期不履行的，区应急管理局可以每日按罚款数额的３％ 加处罚款，但不得超过罚款数额。</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kern w:val="2"/>
          <w:sz w:val="32"/>
          <w:szCs w:val="32"/>
        </w:rPr>
        <w:t>（二）</w:t>
      </w:r>
      <w:r>
        <w:rPr>
          <w:rFonts w:hint="eastAsia" w:ascii="仿宋_GB2312" w:hAnsi="仿宋_GB2312" w:eastAsia="仿宋_GB2312" w:cs="仿宋_GB2312"/>
          <w:kern w:val="2"/>
          <w:sz w:val="32"/>
          <w:szCs w:val="32"/>
        </w:rPr>
        <w:t>区应急管理局对逾期不履行行政处罚决定的当事人每日按罚款数额的３％ 加处罚款，按照以下程序进行：</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1、在有关行政处罚决定书中，告知加处罚款的标准；</w:t>
      </w:r>
    </w:p>
    <w:p>
      <w:pPr>
        <w:tabs>
          <w:tab w:val="left" w:pos="1558"/>
        </w:tabs>
        <w:spacing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2、当事人在决定期限内不履行义务，依照《行政强制法》第四十五条的规定，制作并向当事人送达《缴纳罚款催告书》；</w:t>
      </w:r>
    </w:p>
    <w:p>
      <w:pPr>
        <w:tabs>
          <w:tab w:val="left" w:pos="1558"/>
        </w:tabs>
        <w:spacing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3、听取当事人陈述、申辩，对当事人提出的事实、理由和证据，应当进行记录和复核；</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4、制作并送达《加处罚款决定书》。</w:t>
      </w:r>
    </w:p>
    <w:p>
      <w:pPr>
        <w:tabs>
          <w:tab w:val="left" w:pos="1558"/>
        </w:tabs>
        <w:spacing w:line="560" w:lineRule="exact"/>
        <w:ind w:firstLine="640" w:firstLineChars="200"/>
        <w:jc w:val="both"/>
        <w:rPr>
          <w:rFonts w:ascii="黑体" w:hAnsi="黑体" w:eastAsia="黑体" w:cs="仿宋_GB2312"/>
          <w:kern w:val="2"/>
          <w:sz w:val="32"/>
          <w:szCs w:val="32"/>
        </w:rPr>
      </w:pPr>
      <w:r>
        <w:rPr>
          <w:rFonts w:hint="eastAsia" w:ascii="黑体" w:hAnsi="黑体" w:eastAsia="黑体" w:cs="仿宋_GB2312"/>
          <w:kern w:val="2"/>
          <w:sz w:val="32"/>
          <w:szCs w:val="32"/>
        </w:rPr>
        <w:t>三、将查封、扣押的财物依法拍卖抵缴罚款</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kern w:val="2"/>
          <w:sz w:val="32"/>
          <w:szCs w:val="32"/>
        </w:rPr>
        <w:t>（一）</w:t>
      </w:r>
      <w:r>
        <w:rPr>
          <w:rFonts w:hint="eastAsia" w:ascii="仿宋_GB2312" w:hAnsi="仿宋_GB2312" w:eastAsia="仿宋_GB2312" w:cs="仿宋_GB2312"/>
          <w:kern w:val="2"/>
          <w:sz w:val="32"/>
          <w:szCs w:val="32"/>
        </w:rPr>
        <w:t>当事人在法定期限内不申请行政复议或者提起行政诉讼，也不履行有关罚款的行政处罚决定，经催告仍不履行的，区应急管理局可以将查封、扣押的财物依法拍卖抵缴罚款。</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kern w:val="2"/>
          <w:sz w:val="32"/>
          <w:szCs w:val="32"/>
        </w:rPr>
        <w:t>（二）</w:t>
      </w:r>
      <w:r>
        <w:rPr>
          <w:rFonts w:hint="eastAsia" w:ascii="仿宋_GB2312" w:hAnsi="仿宋_GB2312" w:eastAsia="仿宋_GB2312" w:cs="仿宋_GB2312"/>
          <w:kern w:val="2"/>
          <w:sz w:val="32"/>
          <w:szCs w:val="32"/>
        </w:rPr>
        <w:t>区应急管理局依法采取拍卖抵缴罚款强制执行时，按照以下程序进行：</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1、当事人在法定期限内不申请行政复议或者提起行政诉讼，又不履行有关罚款的行政处罚决定的，区应急管理局应当催告当事人履行。</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2、经催告，当事人仍不履行有关罚款的行政处罚决定的，承办案件行政执法人员填写《行政强制审批表》，写明采取拍卖措施的原因、依据和具体意见，报经区应急管理局局长审批。</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3、区应急管理局依照《拍卖法》规定，委托专门拍卖机构进行拍卖，并与拍卖机构签订委托拍卖合同。</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委托拍卖合同应载明下列事项：委托人、拍卖人的名称、住址；拍卖标的名称、规格、数量、质量；委托人提出的保留价；拍卖的时间、地点；拍卖标的交付或者转移的时间、方式；佣金及其支付的方式、期限；价款的支付方式、期限；违约责任；双方约定的其他事项。</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4、区应急管理局与拍卖机构签订拍卖合同后，由拍卖机构负责对区应急管理局委托其拍卖的财物按照有关规定进行拍卖。</w:t>
      </w:r>
    </w:p>
    <w:p>
      <w:pPr>
        <w:tabs>
          <w:tab w:val="left" w:pos="1558"/>
        </w:tabs>
        <w:spacing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5、区应急管理局以拍卖所得价款按当事人应缴纳罚款进行抵缴。如有剩余款项，退还给当事人。</w:t>
      </w:r>
    </w:p>
    <w:p>
      <w:pPr>
        <w:tabs>
          <w:tab w:val="left" w:pos="1558"/>
        </w:tabs>
        <w:spacing w:line="560" w:lineRule="exact"/>
        <w:ind w:firstLine="643" w:firstLineChars="200"/>
        <w:jc w:val="both"/>
        <w:rPr>
          <w:rFonts w:ascii="仿宋_GB2312" w:hAnsi="仿宋_GB2312" w:eastAsia="仿宋_GB2312" w:cs="仿宋_GB2312"/>
          <w:kern w:val="2"/>
          <w:sz w:val="32"/>
          <w:szCs w:val="32"/>
        </w:rPr>
      </w:pPr>
      <w:r>
        <w:rPr>
          <w:rFonts w:hint="eastAsia" w:ascii="楷体" w:hAnsi="楷体" w:eastAsia="楷体" w:cs="黑体"/>
          <w:b/>
          <w:kern w:val="2"/>
          <w:sz w:val="32"/>
          <w:szCs w:val="32"/>
        </w:rPr>
        <w:t>（三）</w:t>
      </w:r>
      <w:r>
        <w:rPr>
          <w:rFonts w:hint="eastAsia" w:ascii="仿宋_GB2312" w:hAnsi="仿宋_GB2312" w:eastAsia="仿宋_GB2312" w:cs="仿宋_GB2312"/>
          <w:kern w:val="2"/>
          <w:sz w:val="32"/>
          <w:szCs w:val="32"/>
        </w:rPr>
        <w:t>区应急管理局对拍卖款项处理情况，应当书面通知当事人。</w:t>
      </w:r>
    </w:p>
    <w:p>
      <w:pPr>
        <w:tabs>
          <w:tab w:val="left" w:pos="1558"/>
        </w:tabs>
        <w:spacing w:line="560" w:lineRule="exact"/>
        <w:ind w:firstLine="640" w:firstLineChars="200"/>
        <w:jc w:val="both"/>
        <w:rPr>
          <w:rFonts w:ascii="黑体" w:hAnsi="黑体" w:eastAsia="黑体" w:cs="黑体"/>
          <w:sz w:val="32"/>
          <w:szCs w:val="32"/>
        </w:rPr>
      </w:pPr>
      <w:r>
        <w:rPr>
          <w:rFonts w:hint="eastAsia" w:ascii="黑体" w:hAnsi="黑体" w:eastAsia="黑体" w:cs="黑体"/>
          <w:kern w:val="2"/>
          <w:sz w:val="32"/>
          <w:szCs w:val="32"/>
        </w:rPr>
        <w:t>四、通知有关单位停止供电、停止供应民用爆炸物品</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黑体"/>
          <w:b/>
          <w:kern w:val="2"/>
          <w:sz w:val="32"/>
          <w:szCs w:val="32"/>
        </w:rPr>
        <w:t>（一）</w:t>
      </w:r>
      <w:r>
        <w:rPr>
          <w:rFonts w:hint="eastAsia" w:ascii="仿宋_GB2312" w:hAnsi="仿宋_GB2312" w:eastAsia="仿宋_GB2312" w:cs="仿宋_GB2312"/>
          <w:kern w:val="2"/>
          <w:sz w:val="32"/>
          <w:szCs w:val="32"/>
        </w:rPr>
        <w:t>适用条件。区应急管理局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区应急管理局局长批准，可以采取通知有关单位停止供电、停止供应民用爆炸物品等措施，强制生产经营单位履行决定。</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黑体"/>
          <w:b/>
          <w:kern w:val="2"/>
          <w:sz w:val="32"/>
          <w:szCs w:val="32"/>
        </w:rPr>
        <w:t>（二）</w:t>
      </w:r>
      <w:r>
        <w:rPr>
          <w:rFonts w:hint="eastAsia" w:ascii="仿宋_GB2312" w:hAnsi="仿宋_GB2312" w:eastAsia="仿宋_GB2312" w:cs="仿宋_GB2312"/>
          <w:kern w:val="2"/>
          <w:sz w:val="32"/>
          <w:szCs w:val="32"/>
        </w:rPr>
        <w:t>行政强制审批。安全生产行政执法人员应当填写《行政强制审批表》，报区应急管理局局长批准。《行政强制审批表》应当包括如下内容：</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1、执法的具体时间、被检查生产经营单位名称；</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2、被检查生产经营单位存在的重大事故隐患；</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3、作出的责令停产停业等决定及文号；</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4、生产经营单位拒不执行相关决定情况；</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5、建议采取停电（停供民用爆炸物品）措施的具体时间、范围。</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黑体"/>
          <w:b/>
          <w:kern w:val="2"/>
          <w:sz w:val="32"/>
          <w:szCs w:val="32"/>
        </w:rPr>
        <w:t>（三）</w:t>
      </w:r>
      <w:r>
        <w:rPr>
          <w:rFonts w:hint="eastAsia" w:ascii="仿宋_GB2312" w:hAnsi="仿宋_GB2312" w:eastAsia="仿宋_GB2312" w:cs="仿宋_GB2312"/>
          <w:kern w:val="2"/>
          <w:sz w:val="32"/>
          <w:szCs w:val="32"/>
        </w:rPr>
        <w:t>依法采取停止供电措施，除有危及生产安全的紧急情形外，区应急管理局承办案件科室应当提前</w:t>
      </w:r>
      <w:r>
        <w:rPr>
          <w:rFonts w:hint="eastAsia" w:ascii="仿宋_GB2312" w:hAnsi="仿宋_GB2312" w:eastAsia="仿宋_GB2312" w:cs="仿宋_GB2312"/>
          <w:kern w:val="2"/>
          <w:sz w:val="32"/>
          <w:szCs w:val="32"/>
          <w:lang w:val="en-US" w:eastAsia="zh-CN"/>
        </w:rPr>
        <w:t>24</w:t>
      </w:r>
      <w:r>
        <w:rPr>
          <w:rFonts w:hint="eastAsia" w:ascii="仿宋_GB2312" w:hAnsi="仿宋_GB2312" w:eastAsia="仿宋_GB2312" w:cs="仿宋_GB2312"/>
          <w:kern w:val="2"/>
          <w:sz w:val="32"/>
          <w:szCs w:val="32"/>
        </w:rPr>
        <w:t>小时通知生产经营单位。</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黑体"/>
          <w:b/>
          <w:kern w:val="2"/>
          <w:sz w:val="32"/>
          <w:szCs w:val="32"/>
        </w:rPr>
        <w:t>（四）</w:t>
      </w:r>
      <w:r>
        <w:rPr>
          <w:rFonts w:hint="eastAsia" w:ascii="仿宋_GB2312" w:hAnsi="仿宋_GB2312" w:eastAsia="仿宋_GB2312" w:cs="仿宋_GB2312"/>
          <w:kern w:val="2"/>
          <w:sz w:val="32"/>
          <w:szCs w:val="32"/>
        </w:rPr>
        <w:t>制作并下达执法文书。区应急管理局承办案件人员制作《停止供电（供应民用爆炸物品）决定书》，采取直接送达方式送达到生产经营单位。向有关单位下达《停止供电（供应民用爆炸物品）通知书》，采取直接送达方式送达到受送达单位。</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黑体"/>
          <w:b/>
          <w:kern w:val="2"/>
          <w:sz w:val="32"/>
          <w:szCs w:val="32"/>
        </w:rPr>
        <w:t>（五）</w:t>
      </w:r>
      <w:r>
        <w:rPr>
          <w:rFonts w:hint="eastAsia" w:ascii="仿宋_GB2312" w:hAnsi="仿宋_GB2312" w:eastAsia="仿宋_GB2312" w:cs="仿宋_GB2312"/>
          <w:kern w:val="2"/>
          <w:sz w:val="32"/>
          <w:szCs w:val="32"/>
        </w:rPr>
        <w:t>解除强制执行措施。</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1、生产经营单位依法履行行政决定、采取相应措施消除事故隐患的，区应急管理局应当及时解除相关措施。</w:t>
      </w:r>
    </w:p>
    <w:p>
      <w:pPr>
        <w:tabs>
          <w:tab w:val="left" w:pos="1558"/>
        </w:tabs>
        <w:spacing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2、解除停止供电、停止供应民用爆炸物品措施，应当制作并下发《恢复供电（供应民用爆炸物品）通知书》。</w:t>
      </w:r>
    </w:p>
    <w:p>
      <w:pPr>
        <w:tabs>
          <w:tab w:val="left" w:pos="1558"/>
        </w:tabs>
        <w:spacing w:line="560" w:lineRule="exact"/>
        <w:ind w:firstLine="643" w:firstLineChars="200"/>
        <w:jc w:val="both"/>
        <w:rPr>
          <w:rFonts w:hint="eastAsia" w:ascii="仿宋_GB2312" w:hAnsi="仿宋_GB2312" w:eastAsia="仿宋_GB2312" w:cs="仿宋_GB2312"/>
          <w:sz w:val="32"/>
          <w:szCs w:val="32"/>
          <w:lang w:eastAsia="zh-CN"/>
        </w:rPr>
      </w:pPr>
      <w:r>
        <w:rPr>
          <w:rFonts w:hint="eastAsia" w:ascii="楷体" w:hAnsi="楷体" w:eastAsia="楷体" w:cs="黑体"/>
          <w:b/>
          <w:kern w:val="2"/>
          <w:sz w:val="32"/>
          <w:szCs w:val="32"/>
        </w:rPr>
        <w:t>（六）</w:t>
      </w:r>
      <w:r>
        <w:rPr>
          <w:rFonts w:hint="eastAsia" w:ascii="仿宋_GB2312" w:hAnsi="仿宋_GB2312" w:eastAsia="仿宋_GB2312" w:cs="仿宋_GB2312"/>
          <w:kern w:val="2"/>
          <w:sz w:val="32"/>
          <w:szCs w:val="32"/>
        </w:rPr>
        <w:t>行政强制（停止供电、停止供应民用爆炸物品）流程图</w:t>
      </w:r>
      <w:r>
        <w:rPr>
          <w:rFonts w:hint="eastAsia" w:ascii="仿宋_GB2312" w:hAnsi="仿宋_GB2312" w:eastAsia="仿宋_GB2312" w:cs="仿宋_GB2312"/>
          <w:kern w:val="2"/>
          <w:sz w:val="32"/>
          <w:szCs w:val="32"/>
          <w:lang w:eastAsia="zh-CN"/>
        </w:rPr>
        <w:t>。</w:t>
      </w:r>
    </w:p>
    <w:p>
      <w:pPr>
        <w:tabs>
          <w:tab w:val="left" w:pos="1558"/>
        </w:tabs>
        <w:spacing w:line="560" w:lineRule="exact"/>
        <w:ind w:firstLine="640" w:firstLineChars="200"/>
        <w:jc w:val="both"/>
        <w:rPr>
          <w:rFonts w:ascii="黑体" w:hAnsi="黑体" w:eastAsia="黑体" w:cs="黑体"/>
          <w:sz w:val="32"/>
          <w:szCs w:val="32"/>
        </w:rPr>
      </w:pPr>
      <w:r>
        <w:rPr>
          <w:rFonts w:hint="eastAsia" w:ascii="黑体" w:hAnsi="黑体" w:eastAsia="黑体" w:cs="黑体"/>
          <w:kern w:val="2"/>
          <w:sz w:val="32"/>
          <w:szCs w:val="32"/>
        </w:rPr>
        <w:t>五、申请人民法院强制执行</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kern w:val="2"/>
          <w:sz w:val="32"/>
          <w:szCs w:val="32"/>
        </w:rPr>
        <w:t>（一）</w:t>
      </w:r>
      <w:r>
        <w:rPr>
          <w:rFonts w:hint="eastAsia" w:ascii="仿宋_GB2312" w:hAnsi="仿宋_GB2312" w:eastAsia="仿宋_GB2312" w:cs="仿宋_GB2312"/>
          <w:kern w:val="2"/>
          <w:sz w:val="32"/>
          <w:szCs w:val="32"/>
        </w:rPr>
        <w:t>当事人在法定期限内不申请行政复议或者提起行政诉讼，又不履行行政决定的，区应急管理局可以自期限届满之日起3个月内，依照《行政强制法》有关规定申请人民法院强制执行。</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kern w:val="2"/>
          <w:sz w:val="32"/>
          <w:szCs w:val="32"/>
        </w:rPr>
        <w:t>（二）</w:t>
      </w:r>
      <w:r>
        <w:rPr>
          <w:rFonts w:hint="eastAsia" w:ascii="仿宋_GB2312" w:hAnsi="仿宋_GB2312" w:eastAsia="仿宋_GB2312" w:cs="仿宋_GB2312"/>
          <w:kern w:val="2"/>
          <w:sz w:val="32"/>
          <w:szCs w:val="32"/>
        </w:rPr>
        <w:t>申请人民法院强制执行前，区应急管理局各相关科室应当催告当事人履行义务。催告书送达10日后当事人仍未履行义务的，可以向峰峰矿区人民法院申请强制执行；执行对象是不动产的，向不动产所在地有管辖权的人民法院申请强制执行。</w:t>
      </w:r>
    </w:p>
    <w:p>
      <w:pPr>
        <w:tabs>
          <w:tab w:val="left" w:pos="1558"/>
        </w:tabs>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kern w:val="2"/>
          <w:sz w:val="32"/>
          <w:szCs w:val="32"/>
        </w:rPr>
        <w:t>（三）</w:t>
      </w:r>
      <w:r>
        <w:rPr>
          <w:rFonts w:hint="eastAsia" w:ascii="仿宋_GB2312" w:hAnsi="仿宋_GB2312" w:eastAsia="仿宋_GB2312" w:cs="仿宋_GB2312"/>
          <w:kern w:val="2"/>
          <w:sz w:val="32"/>
          <w:szCs w:val="32"/>
        </w:rPr>
        <w:t>申请人民法院强制执行时，应当提交下列材料：</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1、《强制执行申请书》。应包括下列内容：注明区应急管理局的名称、法定代表人的姓名、职务；被申请人（单位或者个人）的名称和住址，被申请人是单位的还要写明法定代表人、负责人的姓名、职务等基本情况；被申请人在法定期限内是否提出行政复议申请、提起行政诉讼的有关情况；申请强制执行的依据；相关法律文书及需要同时附送的其他材料。《强制执行申请书》应当由区应急管理局局长签名，加盖区应急管理局印章，并注明日期。</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2、行政决定书及作出处罚决定的事实、理由和依据。</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3、当事人的意见及区应急管理局的催告情况。</w:t>
      </w:r>
    </w:p>
    <w:p>
      <w:pPr>
        <w:tabs>
          <w:tab w:val="left" w:pos="1558"/>
        </w:tabs>
        <w:spacing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4、申请强制执行标的情况。</w:t>
      </w:r>
    </w:p>
    <w:p>
      <w:pPr>
        <w:tabs>
          <w:tab w:val="left" w:pos="1558"/>
        </w:tabs>
        <w:spacing w:line="560" w:lineRule="exact"/>
        <w:ind w:firstLine="643" w:firstLineChars="200"/>
        <w:jc w:val="center"/>
        <w:outlineLvl w:val="1"/>
        <w:rPr>
          <w:rFonts w:ascii="楷体" w:hAnsi="楷体" w:eastAsia="楷体" w:cs="仿宋_GB2312"/>
          <w:b/>
          <w:sz w:val="32"/>
          <w:szCs w:val="32"/>
        </w:rPr>
      </w:pPr>
      <w:bookmarkStart w:id="13" w:name="_Toc2334"/>
      <w:r>
        <w:rPr>
          <w:rFonts w:hint="eastAsia" w:ascii="楷体" w:hAnsi="楷体" w:eastAsia="楷体" w:cs="仿宋_GB2312"/>
          <w:b/>
          <w:sz w:val="32"/>
          <w:szCs w:val="32"/>
        </w:rPr>
        <w:t>第四节 当事人的权利和义务</w:t>
      </w:r>
      <w:bookmarkEnd w:id="13"/>
    </w:p>
    <w:p>
      <w:pPr>
        <w:tabs>
          <w:tab w:val="left" w:pos="1558"/>
        </w:tabs>
        <w:spacing w:line="560" w:lineRule="exact"/>
        <w:ind w:firstLine="640" w:firstLineChars="200"/>
        <w:jc w:val="both"/>
        <w:rPr>
          <w:rFonts w:ascii="仿宋_GB2312" w:hAnsi="仿宋_GB2312" w:eastAsia="仿宋_GB2312" w:cs="仿宋_GB2312"/>
          <w:kern w:val="2"/>
          <w:sz w:val="32"/>
          <w:szCs w:val="32"/>
        </w:rPr>
      </w:pPr>
      <w:r>
        <w:rPr>
          <w:rFonts w:hint="eastAsia" w:ascii="黑体" w:hAnsi="黑体" w:eastAsia="黑体" w:cs="仿宋_GB2312"/>
          <w:kern w:val="2"/>
          <w:sz w:val="32"/>
          <w:szCs w:val="32"/>
        </w:rPr>
        <w:t>一、</w:t>
      </w:r>
      <w:r>
        <w:rPr>
          <w:rFonts w:hint="eastAsia" w:ascii="仿宋_GB2312" w:hAnsi="仿宋_GB2312" w:eastAsia="仿宋_GB2312" w:cs="仿宋_GB2312"/>
          <w:kern w:val="2"/>
          <w:sz w:val="32"/>
          <w:szCs w:val="32"/>
        </w:rPr>
        <w:t>行政强制措施由区应急管理局具备资格的行政执法人员实施。行政强制措施权不得委托，其他人员不得实施。当事人具有当场监督权，举报权。</w:t>
      </w:r>
    </w:p>
    <w:p>
      <w:pPr>
        <w:tabs>
          <w:tab w:val="left" w:pos="1558"/>
        </w:tabs>
        <w:spacing w:line="560" w:lineRule="exact"/>
        <w:ind w:firstLine="640" w:firstLineChars="200"/>
        <w:jc w:val="both"/>
        <w:rPr>
          <w:rFonts w:ascii="仿宋_GB2312" w:hAnsi="仿宋_GB2312" w:eastAsia="仿宋_GB2312" w:cs="仿宋_GB2312"/>
          <w:kern w:val="2"/>
          <w:sz w:val="32"/>
          <w:szCs w:val="32"/>
        </w:rPr>
      </w:pPr>
      <w:r>
        <w:rPr>
          <w:rFonts w:hint="eastAsia" w:ascii="黑体" w:hAnsi="黑体" w:eastAsia="黑体" w:cs="仿宋_GB2312"/>
          <w:kern w:val="2"/>
          <w:sz w:val="32"/>
          <w:szCs w:val="32"/>
        </w:rPr>
        <w:t>二、</w:t>
      </w:r>
      <w:r>
        <w:rPr>
          <w:rFonts w:hint="eastAsia" w:ascii="仿宋_GB2312" w:hAnsi="仿宋_GB2312" w:eastAsia="仿宋_GB2312" w:cs="仿宋_GB2312"/>
          <w:kern w:val="2"/>
          <w:sz w:val="32"/>
          <w:szCs w:val="32"/>
        </w:rPr>
        <w:t>区应急管理局查封、扣押限于涉案的场所、设施或者设备、器材等财物，不得查封、扣押与违法行为无关的场所、设施、设备、器材。当事人具有当场监督权，举报权。</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kern w:val="2"/>
          <w:sz w:val="32"/>
          <w:szCs w:val="32"/>
        </w:rPr>
        <w:t>三、</w:t>
      </w:r>
      <w:r>
        <w:rPr>
          <w:rFonts w:hint="eastAsia" w:ascii="仿宋_GB2312" w:hAnsi="仿宋_GB2312" w:eastAsia="仿宋_GB2312" w:cs="仿宋_GB2312"/>
          <w:kern w:val="2"/>
          <w:sz w:val="32"/>
          <w:szCs w:val="32"/>
        </w:rPr>
        <w:t>当事人的涉案场所、设施或者设备、器材等财物已被其他国家机关依法查封的，不得重复查封。当事人具有陈述、举证权。</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kern w:val="2"/>
          <w:sz w:val="32"/>
          <w:szCs w:val="32"/>
        </w:rPr>
        <w:t>四、</w:t>
      </w:r>
      <w:r>
        <w:rPr>
          <w:rFonts w:hint="eastAsia" w:ascii="仿宋_GB2312" w:hAnsi="仿宋_GB2312" w:eastAsia="仿宋_GB2312" w:cs="仿宋_GB2312"/>
          <w:kern w:val="2"/>
          <w:sz w:val="32"/>
          <w:szCs w:val="32"/>
        </w:rPr>
        <w:t>当事人逾期不履行区应急管理局作出处罚决定的，区应急管理局每日按罚款数额的３％ 加处罚款，超过罚款数额的，当事人具有陈述、举证权、不履行超出罚款部分的权利。</w:t>
      </w:r>
    </w:p>
    <w:p>
      <w:pPr>
        <w:tabs>
          <w:tab w:val="left" w:pos="1558"/>
        </w:tabs>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kern w:val="2"/>
          <w:sz w:val="32"/>
          <w:szCs w:val="32"/>
        </w:rPr>
        <w:t>五、</w:t>
      </w:r>
      <w:r>
        <w:rPr>
          <w:rFonts w:hint="eastAsia" w:ascii="仿宋_GB2312" w:hAnsi="仿宋_GB2312" w:eastAsia="仿宋_GB2312" w:cs="仿宋_GB2312"/>
          <w:kern w:val="2"/>
          <w:sz w:val="32"/>
          <w:szCs w:val="32"/>
        </w:rPr>
        <w:t>当事人在处罚决定期限内不履行义务，区应急管理局承办案件科室制作并向当事人送达《缴纳罚款催告书》后，当事人具有陈述、申辩权。区应急管理局承办案件科室对当事人提出的事实、理由和证据，应当进行记录和复核。</w:t>
      </w:r>
    </w:p>
    <w:p>
      <w:pPr>
        <w:tabs>
          <w:tab w:val="left" w:pos="1558"/>
        </w:tabs>
        <w:spacing w:line="560" w:lineRule="exact"/>
        <w:ind w:firstLine="640" w:firstLineChars="200"/>
        <w:jc w:val="both"/>
        <w:rPr>
          <w:rFonts w:ascii="仿宋_GB2312" w:hAnsi="仿宋_GB2312" w:eastAsia="仿宋_GB2312" w:cs="仿宋_GB2312"/>
          <w:kern w:val="2"/>
          <w:sz w:val="32"/>
          <w:szCs w:val="32"/>
        </w:rPr>
      </w:pPr>
      <w:r>
        <w:rPr>
          <w:rFonts w:hint="eastAsia" w:ascii="黑体" w:hAnsi="黑体" w:eastAsia="黑体" w:cs="仿宋_GB2312"/>
          <w:kern w:val="2"/>
          <w:sz w:val="32"/>
          <w:szCs w:val="32"/>
        </w:rPr>
        <w:t>六、</w:t>
      </w:r>
      <w:r>
        <w:rPr>
          <w:rFonts w:hint="eastAsia" w:ascii="仿宋_GB2312" w:hAnsi="仿宋_GB2312" w:eastAsia="仿宋_GB2312" w:cs="仿宋_GB2312"/>
          <w:kern w:val="2"/>
          <w:sz w:val="32"/>
          <w:szCs w:val="32"/>
        </w:rPr>
        <w:t>对拍卖款项处理情况，区应急管理局没有书面通知的，当事人具有陈述、申辩权、举证权。</w:t>
      </w:r>
    </w:p>
    <w:p>
      <w:pPr>
        <w:rPr>
          <w:rFonts w:ascii="方正小标宋简体" w:hAnsi="方正小标宋简体" w:eastAsia="方正小标宋简体" w:cs="方正小标宋简体"/>
        </w:rPr>
      </w:pPr>
    </w:p>
    <w:p>
      <w:pPr>
        <w:rPr>
          <w:rFonts w:ascii="方正小标宋简体" w:hAnsi="方正小标宋简体" w:eastAsia="方正小标宋简体" w:cs="方正小标宋简体"/>
        </w:rPr>
      </w:pPr>
    </w:p>
    <w:p>
      <w:pPr>
        <w:widowControl/>
        <w:jc w:val="left"/>
        <w:rPr>
          <w:rFonts w:ascii="方正小标宋简体" w:hAnsi="方正小标宋简体" w:eastAsia="方正小标宋简体" w:cs="方正小标宋简体"/>
        </w:rPr>
      </w:pPr>
    </w:p>
    <w:p>
      <w:pPr>
        <w:spacing w:line="560" w:lineRule="exact"/>
        <w:ind w:firstLine="643" w:firstLineChars="200"/>
        <w:jc w:val="center"/>
        <w:outlineLvl w:val="1"/>
        <w:rPr>
          <w:rFonts w:hint="eastAsia" w:ascii="楷体" w:hAnsi="楷体" w:eastAsia="楷体"/>
          <w:b/>
          <w:sz w:val="32"/>
          <w:szCs w:val="32"/>
          <w:lang w:eastAsia="zh-CN"/>
        </w:rPr>
      </w:pPr>
      <w:bookmarkStart w:id="14" w:name="_Toc937"/>
      <w:r>
        <w:rPr>
          <w:rFonts w:hint="eastAsia" w:ascii="楷体" w:hAnsi="楷体" w:eastAsia="楷体"/>
          <w:b/>
          <w:sz w:val="32"/>
          <w:szCs w:val="32"/>
          <w:lang w:eastAsia="zh-CN"/>
        </w:rPr>
        <w:t>峰峰矿区应急管理局行政强制</w:t>
      </w:r>
      <w:bookmarkEnd w:id="14"/>
    </w:p>
    <w:p>
      <w:pPr>
        <w:spacing w:line="560" w:lineRule="exact"/>
        <w:ind w:firstLine="643" w:firstLineChars="200"/>
        <w:jc w:val="center"/>
        <w:outlineLvl w:val="1"/>
        <w:rPr>
          <w:rFonts w:hint="eastAsia" w:ascii="楷体" w:hAnsi="楷体" w:eastAsia="楷体"/>
          <w:b/>
          <w:sz w:val="32"/>
          <w:szCs w:val="32"/>
        </w:rPr>
      </w:pPr>
      <w:bookmarkStart w:id="15" w:name="_Toc8706"/>
      <w:r>
        <w:rPr>
          <w:rFonts w:hint="eastAsia" w:ascii="楷体" w:hAnsi="楷体" w:eastAsia="楷体"/>
          <w:b/>
          <w:sz w:val="32"/>
          <w:szCs w:val="32"/>
          <w:lang w:eastAsia="zh-CN"/>
        </w:rPr>
        <w:t>（停止供电、停止供应民用爆炸物品）流程图</w:t>
      </w:r>
      <w:bookmarkEnd w:id="15"/>
    </w:p>
    <w:p>
      <w:pPr>
        <w:rPr>
          <w:rFonts w:ascii="方正小标宋简体" w:hAnsi="方正小标宋简体" w:eastAsia="方正小标宋简体" w:cs="方正小标宋简体"/>
        </w:rPr>
      </w:pPr>
    </w:p>
    <w:p>
      <w:pPr>
        <w:widowControl/>
        <w:jc w:val="left"/>
        <w:rPr>
          <w:rFonts w:ascii="方正小标宋简体" w:hAnsi="方正小标宋简体" w:eastAsia="方正小标宋简体" w:cs="方正小标宋简体"/>
        </w:rPr>
      </w:pPr>
      <w:r>
        <w:rPr>
          <w:rFonts w:ascii="方正小标宋简体" w:hAnsi="方正小标宋简体" w:eastAsia="方正小标宋简体" w:cs="方正小标宋简体"/>
        </w:rPr>
        <w:drawing>
          <wp:anchor distT="0" distB="0" distL="114300" distR="114300" simplePos="0" relativeHeight="251660288" behindDoc="0" locked="0" layoutInCell="1" allowOverlap="1">
            <wp:simplePos x="0" y="0"/>
            <wp:positionH relativeFrom="column">
              <wp:posOffset>-190500</wp:posOffset>
            </wp:positionH>
            <wp:positionV relativeFrom="paragraph">
              <wp:posOffset>19050</wp:posOffset>
            </wp:positionV>
            <wp:extent cx="6252845" cy="4878070"/>
            <wp:effectExtent l="0" t="0" r="14605" b="17780"/>
            <wp:wrapTopAndBottom/>
            <wp:docPr id="3" name="图片 3" descr="行政强制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行政强制流程图"/>
                    <pic:cNvPicPr>
                      <a:picLocks noChangeAspect="1"/>
                    </pic:cNvPicPr>
                  </pic:nvPicPr>
                  <pic:blipFill>
                    <a:blip r:embed="rId6"/>
                    <a:stretch>
                      <a:fillRect/>
                    </a:stretch>
                  </pic:blipFill>
                  <pic:spPr>
                    <a:xfrm>
                      <a:off x="0" y="0"/>
                      <a:ext cx="6252845" cy="4878070"/>
                    </a:xfrm>
                    <a:prstGeom prst="rect">
                      <a:avLst/>
                    </a:prstGeom>
                  </pic:spPr>
                </pic:pic>
              </a:graphicData>
            </a:graphic>
          </wp:anchor>
        </w:drawing>
      </w:r>
    </w:p>
    <w:p>
      <w:pPr>
        <w:widowControl/>
        <w:jc w:val="left"/>
        <w:rPr>
          <w:rFonts w:ascii="方正小标宋简体" w:hAnsi="方正小标宋简体" w:eastAsia="方正小标宋简体" w:cs="方正小标宋简体"/>
        </w:rPr>
      </w:pPr>
    </w:p>
    <w:p>
      <w:pPr>
        <w:widowControl/>
        <w:jc w:val="left"/>
        <w:rPr>
          <w:rFonts w:ascii="方正小标宋简体" w:hAnsi="方正小标宋简体" w:eastAsia="方正小标宋简体" w:cs="方正小标宋简体"/>
        </w:rPr>
      </w:pPr>
    </w:p>
    <w:p>
      <w:pPr>
        <w:spacing w:line="560" w:lineRule="exact"/>
        <w:ind w:firstLine="643" w:firstLineChars="200"/>
        <w:jc w:val="center"/>
        <w:outlineLvl w:val="1"/>
        <w:rPr>
          <w:rFonts w:hint="eastAsia" w:ascii="楷体" w:hAnsi="楷体" w:eastAsia="楷体"/>
          <w:b/>
          <w:sz w:val="32"/>
          <w:szCs w:val="32"/>
          <w:lang w:val="en-US" w:eastAsia="zh-CN"/>
        </w:rPr>
      </w:pPr>
      <w:bookmarkStart w:id="16" w:name="_Toc23352"/>
      <w:r>
        <w:rPr>
          <w:rFonts w:hint="eastAsia" w:ascii="楷体" w:hAnsi="楷体" w:eastAsia="楷体"/>
          <w:b/>
          <w:sz w:val="32"/>
          <w:szCs w:val="32"/>
          <w:lang w:val="en-US" w:eastAsia="zh-CN"/>
        </w:rPr>
        <w:t>峰峰矿区应急管理局行政强制</w:t>
      </w:r>
      <w:bookmarkEnd w:id="16"/>
    </w:p>
    <w:p>
      <w:pPr>
        <w:spacing w:line="560" w:lineRule="exact"/>
        <w:ind w:firstLine="643" w:firstLineChars="200"/>
        <w:jc w:val="center"/>
        <w:outlineLvl w:val="1"/>
        <w:rPr>
          <w:rFonts w:hint="eastAsia" w:ascii="楷体" w:hAnsi="楷体" w:eastAsia="楷体"/>
          <w:b/>
          <w:sz w:val="32"/>
          <w:szCs w:val="32"/>
          <w:lang w:val="en-US" w:eastAsia="zh-CN"/>
        </w:rPr>
      </w:pPr>
      <w:bookmarkStart w:id="17" w:name="_Toc30783"/>
      <w:r>
        <w:rPr>
          <w:rFonts w:hint="eastAsia" w:ascii="楷体" w:hAnsi="楷体" w:eastAsia="楷体"/>
          <w:b/>
          <w:sz w:val="32"/>
          <w:szCs w:val="32"/>
          <w:lang w:val="en-US" w:eastAsia="zh-CN"/>
        </w:rPr>
        <w:t>（查封、扣押）流程图</w:t>
      </w:r>
      <w:bookmarkEnd w:id="17"/>
    </w:p>
    <w:p>
      <w:pPr>
        <w:rPr>
          <w:rFonts w:ascii="方正小标宋简体" w:hAnsi="方正小标宋简体" w:eastAsia="方正小标宋简体" w:cs="方正小标宋简体"/>
        </w:rPr>
      </w:pPr>
    </w:p>
    <w:p>
      <w:pPr>
        <w:widowControl/>
        <w:jc w:val="left"/>
        <w:rPr>
          <w:rFonts w:hint="eastAsia" w:ascii="方正小标宋简体" w:hAnsi="方正小标宋简体" w:eastAsia="方正小标宋简体" w:cs="方正小标宋简体"/>
          <w:lang w:eastAsia="zh-CN"/>
        </w:rPr>
      </w:pPr>
      <w:r>
        <w:rPr>
          <w:rFonts w:hint="eastAsia" w:ascii="方正小标宋简体" w:hAnsi="方正小标宋简体" w:eastAsia="方正小标宋简体" w:cs="方正小标宋简体"/>
          <w:lang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20955</wp:posOffset>
            </wp:positionV>
            <wp:extent cx="6266180" cy="5349240"/>
            <wp:effectExtent l="0" t="0" r="1270" b="3810"/>
            <wp:wrapTopAndBottom/>
            <wp:docPr id="4" name="图片 4" descr="行政强制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行政强制流程图2"/>
                    <pic:cNvPicPr>
                      <a:picLocks noChangeAspect="1"/>
                    </pic:cNvPicPr>
                  </pic:nvPicPr>
                  <pic:blipFill>
                    <a:blip r:embed="rId7"/>
                    <a:stretch>
                      <a:fillRect/>
                    </a:stretch>
                  </pic:blipFill>
                  <pic:spPr>
                    <a:xfrm>
                      <a:off x="0" y="0"/>
                      <a:ext cx="6266180" cy="5349240"/>
                    </a:xfrm>
                    <a:prstGeom prst="rect">
                      <a:avLst/>
                    </a:prstGeom>
                  </pic:spPr>
                </pic:pic>
              </a:graphicData>
            </a:graphic>
          </wp:anchor>
        </w:drawing>
      </w:r>
    </w:p>
    <w:p>
      <w:pPr>
        <w:widowControl/>
        <w:jc w:val="center"/>
        <w:rPr>
          <w:rFonts w:hint="eastAsia" w:ascii="方正小标宋简体" w:hAnsi="方正小标宋简体" w:eastAsia="方正小标宋简体" w:cs="方正小标宋简体"/>
          <w:sz w:val="44"/>
          <w:szCs w:val="44"/>
        </w:rPr>
      </w:pPr>
      <w:bookmarkStart w:id="18" w:name="_Hlk135322578"/>
      <w:bookmarkStart w:id="19" w:name="_Hlk135322499"/>
    </w:p>
    <w:p>
      <w:pPr>
        <w:spacing w:line="560" w:lineRule="exact"/>
        <w:jc w:val="center"/>
        <w:rPr>
          <w:rFonts w:hint="eastAsia" w:ascii="宋体" w:hAnsi="宋体" w:eastAsia="宋体"/>
          <w:b/>
          <w:sz w:val="32"/>
          <w:szCs w:val="32"/>
        </w:rPr>
      </w:pPr>
    </w:p>
    <w:p>
      <w:pPr>
        <w:spacing w:line="560" w:lineRule="exact"/>
        <w:jc w:val="center"/>
        <w:outlineLvl w:val="0"/>
        <w:rPr>
          <w:rFonts w:ascii="宋体" w:hAnsi="宋体" w:eastAsia="宋体"/>
          <w:b/>
          <w:sz w:val="32"/>
          <w:szCs w:val="32"/>
        </w:rPr>
      </w:pPr>
      <w:bookmarkStart w:id="20" w:name="_Toc30434"/>
      <w:r>
        <w:rPr>
          <w:rFonts w:hint="eastAsia" w:ascii="宋体" w:hAnsi="宋体" w:eastAsia="宋体"/>
          <w:b/>
          <w:sz w:val="32"/>
          <w:szCs w:val="32"/>
        </w:rPr>
        <w:t>第三章  行政处罚听证服务指南</w:t>
      </w:r>
      <w:bookmarkEnd w:id="20"/>
    </w:p>
    <w:p>
      <w:pPr>
        <w:spacing w:line="560" w:lineRule="exact"/>
        <w:ind w:firstLine="643" w:firstLineChars="200"/>
        <w:jc w:val="center"/>
        <w:outlineLvl w:val="1"/>
        <w:rPr>
          <w:rFonts w:ascii="楷体" w:hAnsi="楷体" w:eastAsia="楷体" w:cs="仿宋_GB2312"/>
          <w:b/>
          <w:sz w:val="32"/>
          <w:szCs w:val="32"/>
        </w:rPr>
      </w:pPr>
      <w:bookmarkStart w:id="21" w:name="_Toc10946"/>
      <w:r>
        <w:rPr>
          <w:rFonts w:hint="eastAsia" w:ascii="楷体" w:hAnsi="楷体" w:eastAsia="楷体" w:cs="仿宋_GB2312"/>
          <w:b/>
          <w:sz w:val="32"/>
          <w:szCs w:val="32"/>
        </w:rPr>
        <w:t>第一节  听证告知</w:t>
      </w:r>
      <w:bookmarkEnd w:id="21"/>
    </w:p>
    <w:p>
      <w:pPr>
        <w:spacing w:line="560" w:lineRule="exact"/>
        <w:ind w:firstLine="643" w:firstLineChars="200"/>
        <w:jc w:val="center"/>
        <w:rPr>
          <w:rFonts w:ascii="楷体" w:hAnsi="楷体" w:eastAsia="楷体" w:cs="仿宋_GB2312"/>
          <w:b/>
          <w:sz w:val="32"/>
          <w:szCs w:val="32"/>
        </w:rPr>
      </w:pPr>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一、行政听证的承办机构和受理范围</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对区应急管理局作出的行政处罚，当事人可以向区应急管理局提出听证申请。</w:t>
      </w:r>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二、行政听证依据</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1、《中华人民共和国行政处罚法》</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2、《安全生产违法行为行政处罚办法》（</w:t>
      </w:r>
      <w:r>
        <w:rPr>
          <w:rFonts w:hint="eastAsia" w:ascii="仿宋_GB2312" w:hAnsi="仿宋_GB2312" w:eastAsia="仿宋_GB2312" w:cs="仿宋_GB2312"/>
          <w:sz w:val="32"/>
          <w:szCs w:val="32"/>
          <w:lang w:val="en-US" w:eastAsia="zh-CN"/>
        </w:rPr>
        <w:t>2007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日国家安全监管总局令第</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号公布，根据</w:t>
      </w:r>
      <w:r>
        <w:rPr>
          <w:rFonts w:hint="eastAsia" w:ascii="仿宋_GB2312" w:hAnsi="仿宋_GB2312" w:eastAsia="仿宋_GB2312" w:cs="仿宋_GB2312"/>
          <w:sz w:val="32"/>
          <w:szCs w:val="32"/>
          <w:lang w:val="en-US" w:eastAsia="zh-CN"/>
        </w:rPr>
        <w:t>2015</w:t>
      </w:r>
      <w:r>
        <w:rPr>
          <w:rFonts w:hint="eastAsia" w:ascii="仿宋_GB2312" w:hAnsi="仿宋_GB2312" w:eastAsia="仿宋_GB2312" w:cs="仿宋_GB2312"/>
          <w:sz w:val="32"/>
          <w:szCs w:val="32"/>
        </w:rPr>
        <w:t>年４月２日国家安全监管总局令第</w:t>
      </w:r>
      <w:r>
        <w:rPr>
          <w:rFonts w:hint="eastAsia" w:ascii="仿宋_GB2312" w:hAnsi="仿宋_GB2312" w:eastAsia="仿宋_GB2312" w:cs="仿宋_GB2312"/>
          <w:sz w:val="32"/>
          <w:szCs w:val="32"/>
          <w:lang w:val="en-US" w:eastAsia="zh-CN"/>
        </w:rPr>
        <w:t>77</w:t>
      </w:r>
      <w:r>
        <w:rPr>
          <w:rFonts w:hint="eastAsia" w:ascii="仿宋_GB2312" w:hAnsi="仿宋_GB2312" w:eastAsia="仿宋_GB2312" w:cs="仿宋_GB2312"/>
          <w:sz w:val="32"/>
          <w:szCs w:val="32"/>
        </w:rPr>
        <w:t>号修正）第</w:t>
      </w: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条至第</w:t>
      </w: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rPr>
        <w:t>条</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3、《国家安全监管总局关于印发〈安全生产执法程序规定〉的通知》（安监总政法〔</w:t>
      </w:r>
      <w:r>
        <w:rPr>
          <w:rFonts w:hint="eastAsia" w:ascii="仿宋_GB2312" w:hAnsi="仿宋_GB2312" w:eastAsia="仿宋_GB2312" w:cs="仿宋_GB2312"/>
          <w:sz w:val="32"/>
          <w:szCs w:val="32"/>
          <w:lang w:val="en-US" w:eastAsia="zh-CN"/>
        </w:rPr>
        <w:t>2016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号）</w:t>
      </w:r>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三、需要告知听证的具体情形</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峰峰矿区应急管理局作出责令停产停业整顿、责令停产停业、吊销有关许可证、撤销有关执业资格、岗位证书或者较大数额罚款的行政处罚决定之前，应当告知当事人有要求举行听证的权利；当事人要求听证的，区应急管理局应当组织听证，不得向当事人收取听证费用。</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前款所称较大数额罚款，为省、市人大常委会或者人民政府规定的数额；没有规定数额的，其数额为对个人罚款1万元以上，对生产经营单位罚款５万元以上或者适用行政处罚一般程序的。</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四、通知当事人举行听证的时间、地点</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（一）当事人要求听证的，应当在区应急管理局告知后３日内以书面方式提出。</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（二）当事人提出听证要求后，区应急管理局在收到书面申请之日起</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日内举行听证会，并在举行听证会的７日前，通知当事人举行听证的时间、地点。</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（三）当事人应当按期参加听证。当事人有正当理由要求延期的，经区应急管理局案件主管领导的批准可以延期１次；当事人未按期参加听证，并且未事先说明理由的，视为放弃听证权利。</w:t>
      </w:r>
    </w:p>
    <w:p>
      <w:pPr>
        <w:spacing w:line="560" w:lineRule="exact"/>
        <w:ind w:firstLine="643" w:firstLineChars="200"/>
        <w:jc w:val="center"/>
        <w:outlineLvl w:val="1"/>
        <w:rPr>
          <w:rFonts w:ascii="楷体" w:hAnsi="楷体" w:eastAsia="楷体" w:cs="仿宋_GB2312"/>
          <w:b/>
          <w:sz w:val="32"/>
          <w:szCs w:val="32"/>
        </w:rPr>
      </w:pPr>
      <w:bookmarkStart w:id="22" w:name="_Toc11511"/>
      <w:r>
        <w:rPr>
          <w:rFonts w:hint="eastAsia" w:ascii="楷体" w:hAnsi="楷体" w:eastAsia="楷体" w:cs="仿宋_GB2312"/>
          <w:b/>
          <w:sz w:val="32"/>
          <w:szCs w:val="32"/>
        </w:rPr>
        <w:t>第二节  听证的组织</w:t>
      </w:r>
      <w:bookmarkEnd w:id="22"/>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一、听证参加人</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听证参加人由听证主持人、听证员、案件调查人员、当事人及其委托代理人、书记员组成。</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听证主持人、听证员、书记员由区应急管理局案件主管领导指定的非本案调查人员担任。</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当事人可以委托一至两名代理人参加听证，并提交相关委托证明材料。</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当事人一方人数为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人以上的，应当推选代表参加听证。推选有困难的，区应急管理局与当事人协商确定代表，协商不成的，可以采取抽签的方式确定。代表人数一般不超过５人。</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为保障听证顺利进行，区应急管理局可以邀请需要当场接受询问、出具证据或者提供专业服务的鉴定人员、勘验人员、翻译人员以及其他专业人员参加听证。</w:t>
      </w:r>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二、当事人的权利义务</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当事人在听证中的权利和义务：</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（一）有权对案件涉及的事实、适用法律及有关情况进行陈述和申辩；</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（二）有权对案件调查人员提出的证据质证并提出新的证据；</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（三）如实回答主持人的提问；</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（四）遵守听证会场纪律，服从听证主持人指挥。</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三、听证公开。</w:t>
      </w:r>
      <w:r>
        <w:rPr>
          <w:rFonts w:hint="eastAsia" w:ascii="仿宋_GB2312" w:hAnsi="仿宋_GB2312" w:eastAsia="仿宋_GB2312" w:cs="仿宋_GB2312"/>
          <w:sz w:val="32"/>
          <w:szCs w:val="32"/>
        </w:rPr>
        <w:t>除涉及国家秘密、商业秘密或者个人隐私外，听证应当公开举行。</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四、听证会纪律</w:t>
      </w:r>
      <w:r>
        <w:rPr>
          <w:rFonts w:hint="eastAsia" w:ascii="仿宋_GB2312" w:hAnsi="仿宋_GB2312" w:eastAsia="仿宋_GB2312" w:cs="仿宋_GB2312"/>
          <w:sz w:val="32"/>
          <w:szCs w:val="32"/>
        </w:rPr>
        <w:t>。参加听证会，应当遵守以下纪律：</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（一）未经主持人允许不得发言、提问；</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（二）未经主持人允许不得录音、录像和拍照；</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（三）未经主持人允许不得中途退场；</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（四）不得使用侮辱性、要挟性语言和其他不文明语言；</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（五）不得有其他干扰听证活动正常进行的行为。</w:t>
      </w:r>
    </w:p>
    <w:p>
      <w:pPr>
        <w:spacing w:line="560" w:lineRule="exact"/>
        <w:ind w:firstLine="643" w:firstLineChars="200"/>
        <w:jc w:val="center"/>
        <w:outlineLvl w:val="1"/>
        <w:rPr>
          <w:rFonts w:ascii="楷体" w:hAnsi="楷体" w:eastAsia="楷体" w:cs="仿宋_GB2312"/>
          <w:b/>
          <w:sz w:val="32"/>
          <w:szCs w:val="32"/>
        </w:rPr>
      </w:pPr>
      <w:bookmarkStart w:id="23" w:name="_Toc1357"/>
      <w:r>
        <w:rPr>
          <w:rFonts w:hint="eastAsia" w:ascii="楷体" w:hAnsi="楷体" w:eastAsia="楷体" w:cs="仿宋_GB2312"/>
          <w:b/>
          <w:sz w:val="32"/>
          <w:szCs w:val="32"/>
        </w:rPr>
        <w:t>第三节听证基本程序</w:t>
      </w:r>
      <w:bookmarkEnd w:id="23"/>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一、听证按照下列程序进行：</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（一）</w:t>
      </w:r>
      <w:r>
        <w:rPr>
          <w:rFonts w:hint="eastAsia" w:ascii="仿宋_GB2312" w:hAnsi="仿宋_GB2312" w:eastAsia="仿宋_GB2312" w:cs="仿宋_GB2312"/>
          <w:sz w:val="32"/>
          <w:szCs w:val="32"/>
        </w:rPr>
        <w:t>书记员宣布听证会场纪律、当事人的权利和义务。听证主持人宣布案由，核实听证参加人名单，宣布听证开始；</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（二）</w:t>
      </w:r>
      <w:r>
        <w:rPr>
          <w:rFonts w:hint="eastAsia" w:ascii="仿宋_GB2312" w:hAnsi="仿宋_GB2312" w:eastAsia="仿宋_GB2312" w:cs="仿宋_GB2312"/>
          <w:sz w:val="32"/>
          <w:szCs w:val="32"/>
        </w:rPr>
        <w:t>案件调查人员提出当事人的违法事实、出示证据，说明拟作出的行政处罚的内容及法律依据；</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（三）</w:t>
      </w:r>
      <w:r>
        <w:rPr>
          <w:rFonts w:hint="eastAsia" w:ascii="仿宋_GB2312" w:hAnsi="仿宋_GB2312" w:eastAsia="仿宋_GB2312" w:cs="仿宋_GB2312"/>
          <w:sz w:val="32"/>
          <w:szCs w:val="32"/>
        </w:rPr>
        <w:t>当事人或者其委托代理人对案件的事实、证据、适用的法律等进行陈述和申辩，提交新的证据材料；</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（四）</w:t>
      </w:r>
      <w:r>
        <w:rPr>
          <w:rFonts w:hint="eastAsia" w:ascii="仿宋_GB2312" w:hAnsi="仿宋_GB2312" w:eastAsia="仿宋_GB2312" w:cs="仿宋_GB2312"/>
          <w:sz w:val="32"/>
          <w:szCs w:val="32"/>
        </w:rPr>
        <w:t>听证主持人就案件的有关问题向当事人、案件调查人员、证人询问；</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（五）</w:t>
      </w:r>
      <w:r>
        <w:rPr>
          <w:rFonts w:hint="eastAsia" w:ascii="仿宋_GB2312" w:hAnsi="仿宋_GB2312" w:eastAsia="仿宋_GB2312" w:cs="仿宋_GB2312"/>
          <w:sz w:val="32"/>
          <w:szCs w:val="32"/>
        </w:rPr>
        <w:t>案件调查人员、当事人或者其委托代理人相互辩论；</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（六）</w:t>
      </w:r>
      <w:r>
        <w:rPr>
          <w:rFonts w:hint="eastAsia" w:ascii="仿宋_GB2312" w:hAnsi="仿宋_GB2312" w:eastAsia="仿宋_GB2312" w:cs="仿宋_GB2312"/>
          <w:sz w:val="32"/>
          <w:szCs w:val="32"/>
        </w:rPr>
        <w:t>当事人或者其委托代理人作最后陈述；</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（七）</w:t>
      </w:r>
      <w:r>
        <w:rPr>
          <w:rFonts w:hint="eastAsia" w:ascii="仿宋_GB2312" w:hAnsi="仿宋_GB2312" w:eastAsia="仿宋_GB2312" w:cs="仿宋_GB2312"/>
          <w:sz w:val="32"/>
          <w:szCs w:val="32"/>
        </w:rPr>
        <w:t>听证主持人宣布听证结束。</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听证笔录当场交当事人核对无误后签名或者盖章。</w:t>
      </w:r>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二、中止听证的情形</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有下列情形之一的，应当中止听证：</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（一）</w:t>
      </w:r>
      <w:r>
        <w:rPr>
          <w:rFonts w:hint="eastAsia" w:ascii="仿宋_GB2312" w:hAnsi="仿宋_GB2312" w:eastAsia="仿宋_GB2312" w:cs="仿宋_GB2312"/>
          <w:sz w:val="32"/>
          <w:szCs w:val="32"/>
        </w:rPr>
        <w:t>需要重新调查取证；</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（二）</w:t>
      </w:r>
      <w:r>
        <w:rPr>
          <w:rFonts w:hint="eastAsia" w:ascii="仿宋_GB2312" w:hAnsi="仿宋_GB2312" w:eastAsia="仿宋_GB2312" w:cs="仿宋_GB2312"/>
          <w:sz w:val="32"/>
          <w:szCs w:val="32"/>
        </w:rPr>
        <w:t>需要通知新证人到场作证的；</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（三）</w:t>
      </w:r>
      <w:r>
        <w:rPr>
          <w:rFonts w:hint="eastAsia" w:ascii="仿宋_GB2312" w:hAnsi="仿宋_GB2312" w:eastAsia="仿宋_GB2312" w:cs="仿宋_GB2312"/>
          <w:sz w:val="32"/>
          <w:szCs w:val="32"/>
        </w:rPr>
        <w:t>因不可抗力无法继续进行听证的；</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（四）</w:t>
      </w:r>
      <w:r>
        <w:rPr>
          <w:rFonts w:hint="eastAsia" w:ascii="仿宋_GB2312" w:hAnsi="仿宋_GB2312" w:eastAsia="仿宋_GB2312" w:cs="仿宋_GB2312"/>
          <w:sz w:val="32"/>
          <w:szCs w:val="32"/>
        </w:rPr>
        <w:t>出现其他需要中止听证情形的。</w:t>
      </w:r>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三、终止听证的情形</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有下列情形之一的，应当终止听证：</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（一）</w:t>
      </w:r>
      <w:r>
        <w:rPr>
          <w:rFonts w:hint="eastAsia" w:ascii="仿宋_GB2312" w:hAnsi="仿宋_GB2312" w:eastAsia="仿宋_GB2312" w:cs="仿宋_GB2312"/>
          <w:sz w:val="32"/>
          <w:szCs w:val="32"/>
        </w:rPr>
        <w:t>当事人撤回听证要求的；</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（二）</w:t>
      </w:r>
      <w:r>
        <w:rPr>
          <w:rFonts w:hint="eastAsia" w:ascii="仿宋_GB2312" w:hAnsi="仿宋_GB2312" w:eastAsia="仿宋_GB2312" w:cs="仿宋_GB2312"/>
          <w:sz w:val="32"/>
          <w:szCs w:val="32"/>
        </w:rPr>
        <w:t>当事人无正当理由不按时参加听证，或者未经听证主持人允许提前退席的；</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（三）</w:t>
      </w:r>
      <w:r>
        <w:rPr>
          <w:rFonts w:hint="eastAsia" w:ascii="仿宋_GB2312" w:hAnsi="仿宋_GB2312" w:eastAsia="仿宋_GB2312" w:cs="仿宋_GB2312"/>
          <w:sz w:val="32"/>
          <w:szCs w:val="32"/>
        </w:rPr>
        <w:t>拟作出的行政处罚决定已经变更，不适用听证程序的。</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（四）</w:t>
      </w:r>
      <w:r>
        <w:rPr>
          <w:rFonts w:hint="eastAsia" w:ascii="仿宋_GB2312" w:hAnsi="仿宋_GB2312" w:eastAsia="仿宋_GB2312" w:cs="仿宋_GB2312"/>
          <w:sz w:val="32"/>
          <w:szCs w:val="32"/>
        </w:rPr>
        <w:t>出现其他需要终止听证情形的。</w:t>
      </w:r>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四、提出处理意见</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听证结束后，听证主持人应当依据听证情况，填写《听证会报告书》，提出处理意见并附听证笔录报区应急管理局法规主管领导审查，根据不同情况，分别作出以下决定：</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b/>
          <w:sz w:val="32"/>
          <w:szCs w:val="32"/>
        </w:rPr>
        <w:t>（一）</w:t>
      </w:r>
      <w:r>
        <w:rPr>
          <w:rFonts w:hint="eastAsia" w:ascii="仿宋" w:hAnsi="仿宋" w:eastAsia="仿宋"/>
          <w:sz w:val="32"/>
          <w:szCs w:val="32"/>
        </w:rPr>
        <w:t>确有应受行政处罚的违法行为的，根据情节轻重及具体情况，作出行政处罚决定；</w:t>
      </w:r>
    </w:p>
    <w:p>
      <w:pPr>
        <w:spacing w:line="560" w:lineRule="exact"/>
        <w:ind w:firstLine="643" w:firstLineChars="200"/>
        <w:jc w:val="both"/>
        <w:rPr>
          <w:rFonts w:ascii="仿宋" w:hAnsi="仿宋" w:eastAsia="仿宋"/>
          <w:sz w:val="32"/>
          <w:szCs w:val="32"/>
        </w:rPr>
      </w:pPr>
      <w:r>
        <w:rPr>
          <w:rFonts w:hint="eastAsia" w:ascii="楷体" w:hAnsi="楷体" w:eastAsia="楷体"/>
          <w:b/>
          <w:sz w:val="32"/>
          <w:szCs w:val="32"/>
        </w:rPr>
        <w:t>（二）</w:t>
      </w:r>
      <w:r>
        <w:rPr>
          <w:rFonts w:hint="eastAsia" w:ascii="仿宋" w:hAnsi="仿宋" w:eastAsia="仿宋"/>
          <w:sz w:val="32"/>
          <w:szCs w:val="32"/>
        </w:rPr>
        <w:t>违法行为轻微，依法可以不予行政处罚的，不予行政处罚；</w:t>
      </w:r>
    </w:p>
    <w:p>
      <w:pPr>
        <w:spacing w:line="560" w:lineRule="exact"/>
        <w:ind w:firstLine="643" w:firstLineChars="200"/>
        <w:jc w:val="both"/>
        <w:rPr>
          <w:rFonts w:ascii="仿宋" w:hAnsi="仿宋" w:eastAsia="仿宋"/>
          <w:sz w:val="32"/>
          <w:szCs w:val="32"/>
        </w:rPr>
      </w:pPr>
      <w:r>
        <w:rPr>
          <w:rFonts w:hint="eastAsia" w:ascii="楷体" w:hAnsi="楷体" w:eastAsia="楷体"/>
          <w:b/>
          <w:sz w:val="32"/>
          <w:szCs w:val="32"/>
        </w:rPr>
        <w:t>（三）</w:t>
      </w:r>
      <w:r>
        <w:rPr>
          <w:rFonts w:hint="eastAsia" w:ascii="仿宋" w:hAnsi="仿宋" w:eastAsia="仿宋"/>
          <w:sz w:val="32"/>
          <w:szCs w:val="32"/>
        </w:rPr>
        <w:t>违法事实不能成立的，不得给予行政处罚；</w:t>
      </w:r>
    </w:p>
    <w:p>
      <w:pPr>
        <w:spacing w:line="560" w:lineRule="exact"/>
        <w:ind w:firstLine="643" w:firstLineChars="200"/>
        <w:jc w:val="both"/>
        <w:rPr>
          <w:rFonts w:ascii="仿宋" w:hAnsi="仿宋" w:eastAsia="仿宋"/>
          <w:sz w:val="32"/>
          <w:szCs w:val="32"/>
        </w:rPr>
      </w:pPr>
      <w:r>
        <w:rPr>
          <w:rFonts w:hint="eastAsia" w:ascii="楷体" w:hAnsi="楷体" w:eastAsia="楷体"/>
          <w:b/>
          <w:sz w:val="32"/>
          <w:szCs w:val="32"/>
        </w:rPr>
        <w:t>（四）</w:t>
      </w:r>
      <w:r>
        <w:rPr>
          <w:rFonts w:hint="eastAsia" w:ascii="仿宋" w:hAnsi="仿宋" w:eastAsia="仿宋"/>
          <w:sz w:val="32"/>
          <w:szCs w:val="32"/>
        </w:rPr>
        <w:t>违法行为涉嫌犯罪的，按照有关规定移送司法机关处理。</w:t>
      </w:r>
    </w:p>
    <w:p>
      <w:pPr>
        <w:spacing w:line="560" w:lineRule="exact"/>
        <w:ind w:firstLine="636"/>
        <w:jc w:val="both"/>
        <w:rPr>
          <w:rFonts w:hint="eastAsia" w:ascii="仿宋" w:hAnsi="仿宋" w:eastAsia="仿宋"/>
          <w:sz w:val="32"/>
          <w:szCs w:val="32"/>
        </w:rPr>
      </w:pPr>
      <w:r>
        <w:rPr>
          <w:rFonts w:hint="eastAsia" w:ascii="仿宋" w:hAnsi="仿宋" w:eastAsia="仿宋"/>
          <w:sz w:val="32"/>
          <w:szCs w:val="32"/>
        </w:rPr>
        <w:t>对严重安全生产违法行为给予责令停产停业整顿、责令停产停业、责令停止建设、责令停止施工、吊销有关许可证、撤销有关执业资格或者岗位证书、5万元以上罚款、没收违法所得5万元以上的行政处罚的，承办案件科室应当提交区应急管理局会审会，经局负责人集体讨论决定。</w:t>
      </w:r>
    </w:p>
    <w:p>
      <w:pPr>
        <w:spacing w:line="560" w:lineRule="exact"/>
        <w:ind w:firstLine="636"/>
        <w:jc w:val="both"/>
        <w:rPr>
          <w:rFonts w:ascii="仿宋" w:hAnsi="仿宋" w:eastAsia="仿宋"/>
          <w:sz w:val="32"/>
          <w:szCs w:val="32"/>
        </w:rPr>
      </w:pPr>
    </w:p>
    <w:p>
      <w:pPr>
        <w:widowControl/>
        <w:jc w:val="center"/>
        <w:rPr>
          <w:rFonts w:hint="eastAsia" w:ascii="方正小标宋简体" w:hAnsi="方正小标宋简体" w:eastAsia="方正小标宋简体" w:cs="方正小标宋简体"/>
          <w:sz w:val="44"/>
          <w:szCs w:val="44"/>
        </w:rPr>
      </w:pPr>
    </w:p>
    <w:p>
      <w:pPr>
        <w:widowControl/>
        <w:jc w:val="center"/>
        <w:rPr>
          <w:rFonts w:hint="eastAsia" w:ascii="方正小标宋简体" w:hAnsi="方正小标宋简体" w:eastAsia="方正小标宋简体" w:cs="方正小标宋简体"/>
          <w:sz w:val="44"/>
          <w:szCs w:val="44"/>
        </w:rPr>
      </w:pPr>
    </w:p>
    <w:p>
      <w:pPr>
        <w:widowControl/>
        <w:jc w:val="center"/>
        <w:rPr>
          <w:rFonts w:hint="eastAsia" w:ascii="方正小标宋简体" w:hAnsi="方正小标宋简体" w:eastAsia="方正小标宋简体" w:cs="方正小标宋简体"/>
          <w:sz w:val="44"/>
          <w:szCs w:val="44"/>
        </w:rPr>
      </w:pPr>
    </w:p>
    <w:p>
      <w:pPr>
        <w:spacing w:line="560" w:lineRule="exact"/>
        <w:ind w:firstLine="643" w:firstLineChars="200"/>
        <w:jc w:val="center"/>
        <w:outlineLvl w:val="1"/>
        <w:rPr>
          <w:rFonts w:hint="eastAsia" w:ascii="楷体" w:hAnsi="楷体" w:eastAsia="楷体"/>
          <w:b/>
          <w:sz w:val="32"/>
          <w:szCs w:val="32"/>
          <w:lang w:eastAsia="zh-CN"/>
        </w:rPr>
      </w:pPr>
    </w:p>
    <w:p>
      <w:pPr>
        <w:spacing w:line="560" w:lineRule="exact"/>
        <w:ind w:firstLine="643" w:firstLineChars="200"/>
        <w:jc w:val="center"/>
        <w:outlineLvl w:val="1"/>
        <w:rPr>
          <w:rFonts w:hint="eastAsia" w:ascii="楷体" w:hAnsi="楷体" w:eastAsia="楷体"/>
          <w:b/>
          <w:sz w:val="32"/>
          <w:szCs w:val="32"/>
          <w:lang w:eastAsia="zh-CN"/>
        </w:rPr>
      </w:pPr>
      <w:bookmarkStart w:id="24" w:name="_Toc30235"/>
      <w:r>
        <w:rPr>
          <w:rFonts w:hint="eastAsia" w:ascii="楷体" w:hAnsi="楷体" w:eastAsia="楷体"/>
          <w:b/>
          <w:sz w:val="32"/>
          <w:szCs w:val="32"/>
          <w:lang w:eastAsia="zh-CN"/>
        </w:rPr>
        <w:t>峰峰矿区应急管理局行政听证流程图</w:t>
      </w:r>
      <w:bookmarkEnd w:id="24"/>
    </w:p>
    <w:p>
      <w:pPr>
        <w:widowControl/>
        <w:jc w:val="center"/>
        <w:rPr>
          <w:rFonts w:hint="eastAsia" w:ascii="方正小标宋简体" w:hAnsi="方正小标宋简体" w:eastAsia="方正小标宋简体" w:cs="方正小标宋简体"/>
          <w:sz w:val="44"/>
          <w:szCs w:val="44"/>
          <w:lang w:eastAsia="zh-CN"/>
        </w:rPr>
      </w:pPr>
    </w:p>
    <w:p>
      <w:pPr>
        <w:widowControl/>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anchor distT="0" distB="0" distL="114300" distR="114300" simplePos="0" relativeHeight="251662336" behindDoc="0" locked="0" layoutInCell="1" allowOverlap="1">
            <wp:simplePos x="0" y="0"/>
            <wp:positionH relativeFrom="column">
              <wp:posOffset>-447675</wp:posOffset>
            </wp:positionH>
            <wp:positionV relativeFrom="paragraph">
              <wp:posOffset>213360</wp:posOffset>
            </wp:positionV>
            <wp:extent cx="6734175" cy="5125085"/>
            <wp:effectExtent l="0" t="0" r="9525" b="18415"/>
            <wp:wrapTopAndBottom/>
            <wp:docPr id="2" name="图片 2" descr="行政听证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政听证流程图"/>
                    <pic:cNvPicPr>
                      <a:picLocks noChangeAspect="1"/>
                    </pic:cNvPicPr>
                  </pic:nvPicPr>
                  <pic:blipFill>
                    <a:blip r:embed="rId8"/>
                    <a:stretch>
                      <a:fillRect/>
                    </a:stretch>
                  </pic:blipFill>
                  <pic:spPr>
                    <a:xfrm>
                      <a:off x="0" y="0"/>
                      <a:ext cx="6734175" cy="5125085"/>
                    </a:xfrm>
                    <a:prstGeom prst="rect">
                      <a:avLst/>
                    </a:prstGeom>
                  </pic:spPr>
                </pic:pic>
              </a:graphicData>
            </a:graphic>
          </wp:anchor>
        </w:drawing>
      </w:r>
    </w:p>
    <w:p>
      <w:pPr>
        <w:widowControl/>
        <w:jc w:val="center"/>
        <w:rPr>
          <w:rFonts w:hint="eastAsia" w:ascii="方正小标宋简体" w:hAnsi="方正小标宋简体" w:eastAsia="方正小标宋简体" w:cs="方正小标宋简体"/>
          <w:sz w:val="44"/>
          <w:szCs w:val="44"/>
          <w:lang w:eastAsia="zh-CN"/>
        </w:rPr>
      </w:pPr>
    </w:p>
    <w:p>
      <w:pPr>
        <w:widowControl/>
        <w:jc w:val="center"/>
        <w:rPr>
          <w:rFonts w:hint="eastAsia" w:ascii="方正小标宋简体" w:hAnsi="方正小标宋简体" w:eastAsia="方正小标宋简体" w:cs="方正小标宋简体"/>
          <w:sz w:val="44"/>
          <w:szCs w:val="44"/>
        </w:rPr>
      </w:pPr>
    </w:p>
    <w:bookmarkEnd w:id="18"/>
    <w:bookmarkEnd w:id="19"/>
    <w:p>
      <w:pPr>
        <w:spacing w:line="560" w:lineRule="exact"/>
        <w:jc w:val="center"/>
        <w:outlineLvl w:val="0"/>
        <w:rPr>
          <w:rFonts w:hint="eastAsia" w:ascii="宋体" w:hAnsi="宋体" w:eastAsia="宋体" w:cs="仿宋_GB2312"/>
          <w:b/>
          <w:sz w:val="32"/>
          <w:szCs w:val="32"/>
        </w:rPr>
      </w:pPr>
    </w:p>
    <w:p>
      <w:pPr>
        <w:spacing w:line="560" w:lineRule="exact"/>
        <w:jc w:val="center"/>
        <w:outlineLvl w:val="0"/>
        <w:rPr>
          <w:rFonts w:ascii="宋体" w:hAnsi="宋体" w:eastAsia="宋体" w:cs="仿宋_GB2312"/>
          <w:b/>
          <w:sz w:val="32"/>
          <w:szCs w:val="32"/>
        </w:rPr>
      </w:pPr>
      <w:bookmarkStart w:id="25" w:name="_Toc12853"/>
      <w:r>
        <w:rPr>
          <w:rFonts w:hint="eastAsia" w:ascii="宋体" w:hAnsi="宋体" w:eastAsia="宋体" w:cs="仿宋_GB2312"/>
          <w:b/>
          <w:sz w:val="32"/>
          <w:szCs w:val="32"/>
        </w:rPr>
        <w:t>第四章 行政处罚的裁量及执行</w:t>
      </w:r>
      <w:bookmarkEnd w:id="25"/>
    </w:p>
    <w:p>
      <w:pPr>
        <w:spacing w:line="560" w:lineRule="exact"/>
        <w:ind w:firstLine="643" w:firstLineChars="200"/>
        <w:jc w:val="center"/>
        <w:outlineLvl w:val="1"/>
        <w:rPr>
          <w:rFonts w:ascii="楷体" w:hAnsi="楷体" w:eastAsia="楷体" w:cs="仿宋_GB2312"/>
          <w:b/>
          <w:sz w:val="32"/>
          <w:szCs w:val="32"/>
        </w:rPr>
      </w:pPr>
      <w:bookmarkStart w:id="26" w:name="_Toc7815"/>
      <w:r>
        <w:rPr>
          <w:rFonts w:hint="eastAsia" w:ascii="楷体" w:hAnsi="楷体" w:eastAsia="楷体" w:cs="仿宋_GB2312"/>
          <w:b/>
          <w:sz w:val="32"/>
          <w:szCs w:val="32"/>
        </w:rPr>
        <w:t>第一节 行政处罚裁量及执行的依据</w:t>
      </w:r>
      <w:bookmarkEnd w:id="26"/>
    </w:p>
    <w:p>
      <w:pPr>
        <w:spacing w:line="560" w:lineRule="exact"/>
        <w:ind w:firstLine="643" w:firstLineChars="200"/>
        <w:jc w:val="center"/>
        <w:rPr>
          <w:rFonts w:ascii="楷体" w:hAnsi="楷体" w:eastAsia="楷体" w:cs="仿宋_GB2312"/>
          <w:b/>
          <w:sz w:val="32"/>
          <w:szCs w:val="32"/>
        </w:rPr>
      </w:pP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w:t>
      </w:r>
      <w:r>
        <w:rPr>
          <w:rFonts w:hint="eastAsia" w:ascii="仿宋_GB2312" w:hAnsi="仿宋_GB2312" w:eastAsia="仿宋_GB2312" w:cs="仿宋_GB2312"/>
          <w:sz w:val="32"/>
          <w:szCs w:val="32"/>
        </w:rPr>
        <w:t>《中华人民共和国行政处罚法》</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w:t>
      </w:r>
      <w:r>
        <w:rPr>
          <w:rFonts w:hint="eastAsia" w:ascii="仿宋_GB2312" w:hAnsi="仿宋_GB2312" w:eastAsia="仿宋_GB2312" w:cs="仿宋_GB2312"/>
          <w:sz w:val="32"/>
          <w:szCs w:val="32"/>
        </w:rPr>
        <w:t>《安全生产违法行为行政处罚办法》（</w:t>
      </w:r>
      <w:r>
        <w:rPr>
          <w:rFonts w:hint="eastAsia" w:ascii="仿宋_GB2312" w:hAnsi="仿宋_GB2312" w:eastAsia="仿宋_GB2312" w:cs="仿宋_GB2312"/>
          <w:sz w:val="32"/>
          <w:szCs w:val="32"/>
          <w:lang w:val="en-US" w:eastAsia="zh-CN"/>
        </w:rPr>
        <w:t>2007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日国家安全监管总局令第</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号公布，根据</w:t>
      </w:r>
      <w:r>
        <w:rPr>
          <w:rFonts w:hint="eastAsia" w:ascii="仿宋_GB2312" w:hAnsi="仿宋_GB2312" w:eastAsia="仿宋_GB2312" w:cs="仿宋_GB2312"/>
          <w:sz w:val="32"/>
          <w:szCs w:val="32"/>
          <w:lang w:val="en-US" w:eastAsia="zh-CN"/>
        </w:rPr>
        <w:t>2015</w:t>
      </w:r>
      <w:r>
        <w:rPr>
          <w:rFonts w:hint="eastAsia" w:ascii="仿宋_GB2312" w:hAnsi="仿宋_GB2312" w:eastAsia="仿宋_GB2312" w:cs="仿宋_GB2312"/>
          <w:sz w:val="32"/>
          <w:szCs w:val="32"/>
        </w:rPr>
        <w:t>年４月２日国家安全监管总局令第</w:t>
      </w:r>
      <w:r>
        <w:rPr>
          <w:rFonts w:hint="eastAsia" w:ascii="仿宋_GB2312" w:hAnsi="仿宋_GB2312" w:eastAsia="仿宋_GB2312" w:cs="仿宋_GB2312"/>
          <w:sz w:val="32"/>
          <w:szCs w:val="32"/>
          <w:lang w:val="en-US" w:eastAsia="zh-CN"/>
        </w:rPr>
        <w:t>77</w:t>
      </w:r>
      <w:r>
        <w:rPr>
          <w:rFonts w:hint="eastAsia" w:ascii="仿宋_GB2312" w:hAnsi="仿宋_GB2312" w:eastAsia="仿宋_GB2312" w:cs="仿宋_GB2312"/>
          <w:sz w:val="32"/>
          <w:szCs w:val="32"/>
        </w:rPr>
        <w:t>号修正）第</w:t>
      </w:r>
      <w:r>
        <w:rPr>
          <w:rFonts w:hint="eastAsia" w:ascii="仿宋_GB2312" w:hAnsi="仿宋_GB2312" w:eastAsia="仿宋_GB2312" w:cs="仿宋_GB2312"/>
          <w:sz w:val="32"/>
          <w:szCs w:val="32"/>
          <w:lang w:val="en-US" w:eastAsia="zh-CN"/>
        </w:rPr>
        <w:t>55</w:t>
      </w:r>
      <w:r>
        <w:rPr>
          <w:rFonts w:hint="eastAsia" w:ascii="仿宋_GB2312" w:hAnsi="仿宋_GB2312" w:eastAsia="仿宋_GB2312" w:cs="仿宋_GB2312"/>
          <w:sz w:val="32"/>
          <w:szCs w:val="32"/>
        </w:rPr>
        <w:t>条至第</w:t>
      </w:r>
      <w:r>
        <w:rPr>
          <w:rFonts w:hint="eastAsia" w:ascii="仿宋_GB2312" w:hAnsi="仿宋_GB2312" w:eastAsia="仿宋_GB2312" w:cs="仿宋_GB2312"/>
          <w:sz w:val="32"/>
          <w:szCs w:val="32"/>
          <w:lang w:val="en-US" w:eastAsia="zh-CN"/>
        </w:rPr>
        <w:t>66</w:t>
      </w:r>
      <w:r>
        <w:rPr>
          <w:rFonts w:hint="eastAsia" w:ascii="仿宋_GB2312" w:hAnsi="仿宋_GB2312" w:eastAsia="仿宋_GB2312" w:cs="仿宋_GB2312"/>
          <w:sz w:val="32"/>
          <w:szCs w:val="32"/>
        </w:rPr>
        <w:t>条</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三、</w:t>
      </w:r>
      <w:r>
        <w:rPr>
          <w:rFonts w:hint="eastAsia" w:ascii="仿宋_GB2312" w:hAnsi="仿宋_GB2312" w:eastAsia="仿宋_GB2312" w:cs="仿宋_GB2312"/>
          <w:sz w:val="32"/>
          <w:szCs w:val="32"/>
        </w:rPr>
        <w:t>《安全生产行政处罚自由裁量适用规则（试行）》（国家安全监管总局令第３１号）</w:t>
      </w:r>
    </w:p>
    <w:p>
      <w:pPr>
        <w:spacing w:line="560" w:lineRule="exact"/>
        <w:ind w:firstLine="643" w:firstLineChars="200"/>
        <w:jc w:val="center"/>
        <w:outlineLvl w:val="1"/>
        <w:rPr>
          <w:rFonts w:ascii="楷体" w:hAnsi="楷体" w:eastAsia="楷体" w:cs="仿宋_GB2312"/>
          <w:b/>
          <w:sz w:val="32"/>
          <w:szCs w:val="32"/>
        </w:rPr>
      </w:pPr>
      <w:bookmarkStart w:id="27" w:name="_Toc21281"/>
      <w:r>
        <w:rPr>
          <w:rFonts w:hint="eastAsia" w:ascii="楷体" w:hAnsi="楷体" w:eastAsia="楷体" w:cs="仿宋_GB2312"/>
          <w:b/>
          <w:sz w:val="32"/>
          <w:szCs w:val="32"/>
        </w:rPr>
        <w:t>第二节  行政处罚的裁量</w:t>
      </w:r>
      <w:bookmarkEnd w:id="27"/>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w:t>
      </w:r>
      <w:r>
        <w:rPr>
          <w:rFonts w:hint="eastAsia" w:ascii="仿宋_GB2312" w:hAnsi="仿宋_GB2312" w:eastAsia="仿宋_GB2312" w:cs="仿宋_GB2312"/>
          <w:sz w:val="32"/>
          <w:szCs w:val="32"/>
        </w:rPr>
        <w:t>区应急管理局在对安全生产违法行为实施行政处罚时，根据立法目的和行政处罚的原则，在法律、法规、规章规定的行政处罚的种类和幅度内，综合考量违法的事实、性质、手段、后果、情节和改正措施等因素，正确、适当地确定行政处罚的种类、幅度或者作出不予行政处罚决定。</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区应急管理局在行使行政处罚自由裁量权时，应当参照原国家安全监管总局公布的安全生产行政处罚自由裁量标准实施；已经制定行政处罚自由裁量标准实施细则的，依照有关细则实施。</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w:t>
      </w:r>
      <w:r>
        <w:rPr>
          <w:rFonts w:hint="eastAsia" w:ascii="仿宋_GB2312" w:hAnsi="仿宋_GB2312" w:eastAsia="仿宋_GB2312" w:cs="仿宋_GB2312"/>
          <w:sz w:val="32"/>
          <w:szCs w:val="32"/>
        </w:rPr>
        <w:t>行使行政处罚自由裁量权，应当遵循以下原则：</w:t>
      </w:r>
    </w:p>
    <w:p>
      <w:pPr>
        <w:spacing w:line="560" w:lineRule="exact"/>
        <w:ind w:firstLine="640" w:firstLineChars="200"/>
        <w:jc w:val="both"/>
        <w:rPr>
          <w:rFonts w:ascii="仿宋_GB2312" w:hAnsi="仿宋_GB2312" w:eastAsia="仿宋_GB2312" w:cs="仿宋_GB2312"/>
          <w:sz w:val="32"/>
          <w:szCs w:val="32"/>
        </w:rPr>
      </w:pPr>
      <w:r>
        <w:rPr>
          <w:rFonts w:hint="eastAsia" w:ascii="楷体" w:hAnsi="楷体" w:eastAsia="楷体" w:cs="仿宋_GB2312"/>
          <w:sz w:val="32"/>
          <w:szCs w:val="32"/>
        </w:rPr>
        <w:t>（一）</w:t>
      </w:r>
      <w:r>
        <w:rPr>
          <w:rFonts w:hint="eastAsia" w:ascii="仿宋_GB2312" w:hAnsi="仿宋_GB2312" w:eastAsia="仿宋_GB2312" w:cs="仿宋_GB2312"/>
          <w:sz w:val="32"/>
          <w:szCs w:val="32"/>
        </w:rPr>
        <w:t>程序法定原则。严格遵守法律、法规和规章规定的程序。</w:t>
      </w:r>
    </w:p>
    <w:p>
      <w:pPr>
        <w:spacing w:line="560" w:lineRule="exact"/>
        <w:ind w:firstLine="640" w:firstLineChars="200"/>
        <w:jc w:val="both"/>
        <w:rPr>
          <w:rFonts w:ascii="仿宋_GB2312" w:hAnsi="仿宋_GB2312" w:eastAsia="仿宋_GB2312" w:cs="仿宋_GB2312"/>
          <w:sz w:val="32"/>
          <w:szCs w:val="32"/>
        </w:rPr>
      </w:pPr>
      <w:r>
        <w:rPr>
          <w:rFonts w:hint="eastAsia" w:ascii="楷体" w:hAnsi="楷体" w:eastAsia="楷体" w:cs="仿宋_GB2312"/>
          <w:sz w:val="32"/>
          <w:szCs w:val="32"/>
        </w:rPr>
        <w:t>（二）</w:t>
      </w:r>
      <w:r>
        <w:rPr>
          <w:rFonts w:hint="eastAsia" w:ascii="仿宋_GB2312" w:hAnsi="仿宋_GB2312" w:eastAsia="仿宋_GB2312" w:cs="仿宋_GB2312"/>
          <w:sz w:val="32"/>
          <w:szCs w:val="32"/>
        </w:rPr>
        <w:t>合法、公平、公正、公开的原则。依法维护公民、法人和其他组织的合法权益，确保行政处罚自由裁量权行使的合法性和合理性。</w:t>
      </w:r>
    </w:p>
    <w:p>
      <w:pPr>
        <w:spacing w:line="560" w:lineRule="exact"/>
        <w:ind w:firstLine="640" w:firstLineChars="200"/>
        <w:jc w:val="both"/>
        <w:rPr>
          <w:rFonts w:ascii="仿宋_GB2312" w:hAnsi="仿宋_GB2312" w:eastAsia="仿宋_GB2312" w:cs="仿宋_GB2312"/>
          <w:sz w:val="32"/>
          <w:szCs w:val="32"/>
        </w:rPr>
      </w:pPr>
      <w:r>
        <w:rPr>
          <w:rFonts w:hint="eastAsia" w:ascii="楷体" w:hAnsi="楷体" w:eastAsia="楷体" w:cs="仿宋_GB2312"/>
          <w:sz w:val="32"/>
          <w:szCs w:val="32"/>
        </w:rPr>
        <w:t>（三）</w:t>
      </w:r>
      <w:r>
        <w:rPr>
          <w:rFonts w:hint="eastAsia" w:ascii="仿宋_GB2312" w:hAnsi="仿宋_GB2312" w:eastAsia="仿宋_GB2312" w:cs="仿宋_GB2312"/>
          <w:sz w:val="32"/>
          <w:szCs w:val="32"/>
        </w:rPr>
        <w:t>以事实为依据、以法律为准绳的原则。全面分析违法行为的主体、客体、主观方面、客观方面等因素，综合裁量，合理确定应否给予行政处罚或者应当给予行政处罚的种类、幅度。</w:t>
      </w:r>
    </w:p>
    <w:p>
      <w:pPr>
        <w:spacing w:line="560" w:lineRule="exact"/>
        <w:ind w:firstLine="640" w:firstLineChars="200"/>
        <w:jc w:val="both"/>
        <w:rPr>
          <w:rFonts w:ascii="仿宋_GB2312" w:hAnsi="仿宋_GB2312" w:eastAsia="仿宋_GB2312" w:cs="仿宋_GB2312"/>
          <w:sz w:val="32"/>
          <w:szCs w:val="32"/>
        </w:rPr>
      </w:pPr>
      <w:r>
        <w:rPr>
          <w:rFonts w:hint="eastAsia" w:ascii="楷体" w:hAnsi="楷体" w:eastAsia="楷体" w:cs="仿宋_GB2312"/>
          <w:sz w:val="32"/>
          <w:szCs w:val="32"/>
        </w:rPr>
        <w:t>（四）</w:t>
      </w:r>
      <w:r>
        <w:rPr>
          <w:rFonts w:hint="eastAsia" w:ascii="仿宋_GB2312" w:hAnsi="仿宋_GB2312" w:eastAsia="仿宋_GB2312" w:cs="仿宋_GB2312"/>
          <w:sz w:val="32"/>
          <w:szCs w:val="32"/>
        </w:rPr>
        <w:t>过罚相当和处罚与教育相结合的原则。给予行政处罚的种类、幅度应当与违法行为的事实、性质、情节、认知态度以及社会危害程度相当。</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三、</w:t>
      </w:r>
      <w:r>
        <w:rPr>
          <w:rFonts w:hint="eastAsia" w:ascii="仿宋_GB2312" w:hAnsi="仿宋_GB2312" w:eastAsia="仿宋_GB2312" w:cs="仿宋_GB2312"/>
          <w:sz w:val="32"/>
          <w:szCs w:val="32"/>
        </w:rPr>
        <w:t>对同一类违法主体实施的性质相同、情节相近或者相似、危害后果基本相当的违法行为，在行使行政处罚自由裁量权时，适用的法律依据、处罚种类应当基本一致，处罚幅度应当基本相当。</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四、</w:t>
      </w:r>
      <w:r>
        <w:rPr>
          <w:rFonts w:hint="eastAsia" w:ascii="仿宋_GB2312" w:hAnsi="仿宋_GB2312" w:eastAsia="仿宋_GB2312" w:cs="仿宋_GB2312"/>
          <w:sz w:val="32"/>
          <w:szCs w:val="32"/>
        </w:rPr>
        <w:t>一事不再罚款。对生产经营单位及其有关人员的同一个违法行为，不得给予两次或者两次以上的罚款。</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五、</w:t>
      </w:r>
      <w:r>
        <w:rPr>
          <w:rFonts w:hint="eastAsia" w:ascii="仿宋_GB2312" w:hAnsi="仿宋_GB2312" w:eastAsia="仿宋_GB2312" w:cs="仿宋_GB2312"/>
          <w:sz w:val="32"/>
          <w:szCs w:val="32"/>
        </w:rPr>
        <w:t>合并处罚的情形。生产经营单位及其有关人员违反不同的法律规定，或者违反同一条款的不同违法情形，有两个以上应当给予行政处罚的违法行为的，应当适用不同的法律规定或者同一法律条款规定的不同违法情形，分别裁量，合并处罚。</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六、</w:t>
      </w:r>
      <w:r>
        <w:rPr>
          <w:rFonts w:hint="eastAsia" w:ascii="仿宋_GB2312" w:hAnsi="仿宋_GB2312" w:eastAsia="仿宋_GB2312" w:cs="仿宋_GB2312"/>
          <w:sz w:val="32"/>
          <w:szCs w:val="32"/>
        </w:rPr>
        <w:t>从轻处罚的情形。当事人有下列情形之一的，应当依法从轻处罚：</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（一）</w:t>
      </w:r>
      <w:r>
        <w:rPr>
          <w:rFonts w:hint="eastAsia" w:ascii="仿宋_GB2312" w:hAnsi="仿宋_GB2312" w:eastAsia="仿宋_GB2312" w:cs="仿宋_GB2312"/>
          <w:sz w:val="32"/>
          <w:szCs w:val="32"/>
        </w:rPr>
        <w:t>已满</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周岁不满</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周岁的公民实施安全生产违法行为的；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（二）</w:t>
      </w:r>
      <w:r>
        <w:rPr>
          <w:rFonts w:hint="eastAsia" w:ascii="仿宋_GB2312" w:hAnsi="仿宋_GB2312" w:eastAsia="仿宋_GB2312" w:cs="仿宋_GB2312"/>
          <w:sz w:val="32"/>
          <w:szCs w:val="32"/>
        </w:rPr>
        <w:t>主动消除或者减轻安全生产违法行为危害后果的；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（三）</w:t>
      </w:r>
      <w:r>
        <w:rPr>
          <w:rFonts w:hint="eastAsia" w:ascii="仿宋_GB2312" w:hAnsi="仿宋_GB2312" w:eastAsia="仿宋_GB2312" w:cs="仿宋_GB2312"/>
          <w:sz w:val="32"/>
          <w:szCs w:val="32"/>
        </w:rPr>
        <w:t>受他人胁迫实施安全生产违法行为的；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（四）</w:t>
      </w:r>
      <w:r>
        <w:rPr>
          <w:rFonts w:hint="eastAsia" w:ascii="仿宋_GB2312" w:hAnsi="仿宋_GB2312" w:eastAsia="仿宋_GB2312" w:cs="仿宋_GB2312"/>
          <w:sz w:val="32"/>
          <w:szCs w:val="32"/>
        </w:rPr>
        <w:t>配合区应急管理局查处安全生产违法行为，有立功表现的；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（五）</w:t>
      </w:r>
      <w:r>
        <w:rPr>
          <w:rFonts w:hint="eastAsia" w:ascii="仿宋_GB2312" w:hAnsi="仿宋_GB2312" w:eastAsia="仿宋_GB2312" w:cs="仿宋_GB2312"/>
          <w:sz w:val="32"/>
          <w:szCs w:val="32"/>
        </w:rPr>
        <w:t>主动投案，向区应急管理局如实交代自己的违法行为的；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（六）</w:t>
      </w:r>
      <w:r>
        <w:rPr>
          <w:rFonts w:hint="eastAsia" w:ascii="仿宋_GB2312" w:hAnsi="仿宋_GB2312" w:eastAsia="仿宋_GB2312" w:cs="仿宋_GB2312"/>
          <w:sz w:val="32"/>
          <w:szCs w:val="32"/>
        </w:rPr>
        <w:t>具有法律、行政法规规定的其他从轻处罚情形的。</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立功表现，是指当事人有揭发他人安全生产违法行为，并经查证属实；或者提供查处其他安全生产违法行为的重要线索，并经查证属实；或者阻止他人实施安全生产违法行为；或者协助司法机关抓捕其他违法犯罪嫌疑人的行为。</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有从轻处罚情节的，应当在法定处罚幅度的中档以下确定行政处罚标准，但不得低于法定处罚幅度的下限。</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七、</w:t>
      </w:r>
      <w:r>
        <w:rPr>
          <w:rFonts w:hint="eastAsia" w:ascii="仿宋_GB2312" w:hAnsi="仿宋_GB2312" w:eastAsia="仿宋_GB2312" w:cs="仿宋_GB2312"/>
          <w:sz w:val="32"/>
          <w:szCs w:val="32"/>
        </w:rPr>
        <w:t>从重处罚的情形。当事人有下列情形之一的，应当依法从重处罚：</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（一）</w:t>
      </w:r>
      <w:r>
        <w:rPr>
          <w:rFonts w:hint="eastAsia" w:ascii="仿宋_GB2312" w:hAnsi="仿宋_GB2312" w:eastAsia="仿宋_GB2312" w:cs="仿宋_GB2312"/>
          <w:sz w:val="32"/>
          <w:szCs w:val="32"/>
        </w:rPr>
        <w:t>危及公共安全或者其他生产经营单位及其人员安全，经责令限期改正，逾期未改正的；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（二）</w:t>
      </w:r>
      <w:r>
        <w:rPr>
          <w:rFonts w:hint="eastAsia" w:ascii="仿宋_GB2312" w:hAnsi="仿宋_GB2312" w:eastAsia="仿宋_GB2312" w:cs="仿宋_GB2312"/>
          <w:sz w:val="32"/>
          <w:szCs w:val="32"/>
        </w:rPr>
        <w:t>一年内因同一种安全生产违法行为受到两次以上行政处罚的；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（三）</w:t>
      </w:r>
      <w:r>
        <w:rPr>
          <w:rFonts w:hint="eastAsia" w:ascii="仿宋_GB2312" w:hAnsi="仿宋_GB2312" w:eastAsia="仿宋_GB2312" w:cs="仿宋_GB2312"/>
          <w:sz w:val="32"/>
          <w:szCs w:val="32"/>
        </w:rPr>
        <w:t>拒不整改或者整改不力，其违法行为处于持续状态的；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（四）</w:t>
      </w:r>
      <w:r>
        <w:rPr>
          <w:rFonts w:hint="eastAsia" w:ascii="仿宋_GB2312" w:hAnsi="仿宋_GB2312" w:eastAsia="仿宋_GB2312" w:cs="仿宋_GB2312"/>
          <w:sz w:val="32"/>
          <w:szCs w:val="32"/>
        </w:rPr>
        <w:t>拒绝、阻碍或者以暴力威胁行政执法人员的；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（五）</w:t>
      </w:r>
      <w:r>
        <w:rPr>
          <w:rFonts w:hint="eastAsia" w:ascii="仿宋_GB2312" w:hAnsi="仿宋_GB2312" w:eastAsia="仿宋_GB2312" w:cs="仿宋_GB2312"/>
          <w:sz w:val="32"/>
          <w:szCs w:val="32"/>
        </w:rPr>
        <w:t>在处置突发事件期间实施安全生产违法行为的；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（六）</w:t>
      </w:r>
      <w:r>
        <w:rPr>
          <w:rFonts w:hint="eastAsia" w:ascii="仿宋_GB2312" w:hAnsi="仿宋_GB2312" w:eastAsia="仿宋_GB2312" w:cs="仿宋_GB2312"/>
          <w:sz w:val="32"/>
          <w:szCs w:val="32"/>
        </w:rPr>
        <w:t>隐匿、销毁违法行为证据的；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（七）</w:t>
      </w:r>
      <w:r>
        <w:rPr>
          <w:rFonts w:hint="eastAsia" w:ascii="仿宋_GB2312" w:hAnsi="仿宋_GB2312" w:eastAsia="仿宋_GB2312" w:cs="仿宋_GB2312"/>
          <w:sz w:val="32"/>
          <w:szCs w:val="32"/>
        </w:rPr>
        <w:t>违法行为情节恶劣，造成人身死亡（重伤、急性工业中毒）或者严重社会影响的；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（八）</w:t>
      </w:r>
      <w:r>
        <w:rPr>
          <w:rFonts w:hint="eastAsia" w:ascii="仿宋_GB2312" w:hAnsi="仿宋_GB2312" w:eastAsia="仿宋_GB2312" w:cs="仿宋_GB2312"/>
          <w:sz w:val="32"/>
          <w:szCs w:val="32"/>
        </w:rPr>
        <w:t>故意实施违法行为的；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（九）</w:t>
      </w:r>
      <w:r>
        <w:rPr>
          <w:rFonts w:hint="eastAsia" w:ascii="仿宋_GB2312" w:hAnsi="仿宋_GB2312" w:eastAsia="仿宋_GB2312" w:cs="仿宋_GB2312"/>
          <w:sz w:val="32"/>
          <w:szCs w:val="32"/>
        </w:rPr>
        <w:t>对举报人、证人打击报复的；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（十）</w:t>
      </w:r>
      <w:r>
        <w:rPr>
          <w:rFonts w:hint="eastAsia" w:ascii="仿宋_GB2312" w:hAnsi="仿宋_GB2312" w:eastAsia="仿宋_GB2312" w:cs="仿宋_GB2312"/>
          <w:sz w:val="32"/>
          <w:szCs w:val="32"/>
        </w:rPr>
        <w:t>未依法排查治理事故隐患的；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（十一）</w:t>
      </w:r>
      <w:r>
        <w:rPr>
          <w:rFonts w:hint="eastAsia" w:ascii="仿宋_GB2312" w:hAnsi="仿宋_GB2312" w:eastAsia="仿宋_GB2312" w:cs="仿宋_GB2312"/>
          <w:sz w:val="32"/>
          <w:szCs w:val="32"/>
        </w:rPr>
        <w:t>发生生产安全事故后逃匿或者瞒报、谎报的；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（十二）</w:t>
      </w:r>
      <w:r>
        <w:rPr>
          <w:rFonts w:hint="eastAsia" w:ascii="仿宋_GB2312" w:hAnsi="仿宋_GB2312" w:eastAsia="仿宋_GB2312" w:cs="仿宋_GB2312"/>
          <w:sz w:val="32"/>
          <w:szCs w:val="32"/>
        </w:rPr>
        <w:t>具有法律、行政法规规定的其他从重处罚情形的。</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有从重处罚情节的，应当在法定处罚幅度内选择较高或者最高幅度确定处罚标准，但不得高于法定处罚幅度上限。</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八、</w:t>
      </w:r>
      <w:r>
        <w:rPr>
          <w:rFonts w:hint="eastAsia" w:ascii="仿宋_GB2312" w:hAnsi="仿宋_GB2312" w:eastAsia="仿宋_GB2312" w:cs="仿宋_GB2312"/>
          <w:sz w:val="32"/>
          <w:szCs w:val="32"/>
        </w:rPr>
        <w:t>不予处罚的情形。当事人有下列情形之一的，不予处罚：</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（一）</w:t>
      </w:r>
      <w:r>
        <w:rPr>
          <w:rFonts w:hint="eastAsia" w:ascii="仿宋_GB2312" w:hAnsi="仿宋_GB2312" w:eastAsia="仿宋_GB2312" w:cs="仿宋_GB2312"/>
          <w:sz w:val="32"/>
          <w:szCs w:val="32"/>
        </w:rPr>
        <w:t>证据不足，安全生产违法事实不能成立的；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（二）</w:t>
      </w:r>
      <w:r>
        <w:rPr>
          <w:rFonts w:hint="eastAsia" w:ascii="仿宋_GB2312" w:hAnsi="仿宋_GB2312" w:eastAsia="仿宋_GB2312" w:cs="仿宋_GB2312"/>
          <w:sz w:val="32"/>
          <w:szCs w:val="32"/>
        </w:rPr>
        <w:t>安全生产违法行为轻微并及时纠正，没有造成危害后果的；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（三）</w:t>
      </w:r>
      <w:r>
        <w:rPr>
          <w:rFonts w:hint="eastAsia" w:ascii="仿宋_GB2312" w:hAnsi="仿宋_GB2312" w:eastAsia="仿宋_GB2312" w:cs="仿宋_GB2312"/>
          <w:sz w:val="32"/>
          <w:szCs w:val="32"/>
        </w:rPr>
        <w:t>不满</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周岁的公民实施安全生产违法行为的；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（四）</w:t>
      </w:r>
      <w:r>
        <w:rPr>
          <w:rFonts w:hint="eastAsia" w:ascii="仿宋_GB2312" w:hAnsi="仿宋_GB2312" w:eastAsia="仿宋_GB2312" w:cs="仿宋_GB2312"/>
          <w:sz w:val="32"/>
          <w:szCs w:val="32"/>
        </w:rPr>
        <w:t>精神病人在不能辨认或者不能控制自己行为时实施安全生产违法行为的；</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（五）</w:t>
      </w:r>
      <w:r>
        <w:rPr>
          <w:rFonts w:hint="eastAsia" w:ascii="仿宋_GB2312" w:hAnsi="仿宋_GB2312" w:eastAsia="仿宋_GB2312" w:cs="仿宋_GB2312"/>
          <w:sz w:val="32"/>
          <w:szCs w:val="32"/>
        </w:rPr>
        <w:t>安全生产违法行为在２年内未被发现的，法律另有规定的除外；</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（六）</w:t>
      </w:r>
      <w:r>
        <w:rPr>
          <w:rFonts w:hint="eastAsia" w:ascii="仿宋_GB2312" w:hAnsi="仿宋_GB2312" w:eastAsia="仿宋_GB2312" w:cs="仿宋_GB2312"/>
          <w:sz w:val="32"/>
          <w:szCs w:val="32"/>
        </w:rPr>
        <w:t>具有法律、行政法规、部门规章规定的其他情形的。</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安全生产违法行为在２年内未被发现的期限，从违法行为发生之日起计算；违法行为有连续或者继续状态的，从行为终了之日起计算。</w:t>
      </w:r>
    </w:p>
    <w:p>
      <w:pPr>
        <w:spacing w:line="560" w:lineRule="exact"/>
        <w:ind w:firstLine="643" w:firstLineChars="200"/>
        <w:jc w:val="center"/>
        <w:outlineLvl w:val="1"/>
        <w:rPr>
          <w:rFonts w:ascii="楷体" w:hAnsi="楷体" w:eastAsia="楷体" w:cs="仿宋_GB2312"/>
          <w:b/>
          <w:sz w:val="32"/>
          <w:szCs w:val="32"/>
        </w:rPr>
      </w:pPr>
      <w:bookmarkStart w:id="28" w:name="_Toc30292"/>
      <w:r>
        <w:rPr>
          <w:rFonts w:hint="eastAsia" w:ascii="楷体" w:hAnsi="楷体" w:eastAsia="楷体" w:cs="仿宋_GB2312"/>
          <w:b/>
          <w:sz w:val="32"/>
          <w:szCs w:val="32"/>
        </w:rPr>
        <w:t>第三节  行政处罚的执行</w:t>
      </w:r>
      <w:bookmarkEnd w:id="28"/>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一、延期（分期）缴纳罚款</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当事人确有经济困难，需要延期或者分期缴纳罚款的，应当告知其提交书面申请，提出具体、可行的延期或者分期缴纳罚款的计划，经区应急管理局批准后，可以延期或者分期缴纳。</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二、依法没收的非法财物的处理</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对依法没收的非法财物，除依法应当予以销毁的物品外，必须按照国家规定公开拍卖或者按照国家有关规定处理。</w:t>
      </w:r>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三、强制执行</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当事人逾期不履行行政处罚决定的，区应急管理局根据具体情况，依法采取通知有关单位停止供电、停止供应民用爆炸物品，加处罚款，将查封、扣押的财物拍卖抵缴罚款，申请人民法院强制执行等措施。</w:t>
      </w:r>
    </w:p>
    <w:p>
      <w:pPr>
        <w:spacing w:line="560" w:lineRule="exact"/>
        <w:ind w:firstLine="643" w:firstLineChars="200"/>
        <w:jc w:val="center"/>
        <w:rPr>
          <w:rFonts w:hint="eastAsia" w:ascii="楷体" w:hAnsi="楷体" w:eastAsia="楷体" w:cs="仿宋_GB2312"/>
          <w:b/>
          <w:sz w:val="32"/>
          <w:szCs w:val="32"/>
        </w:rPr>
      </w:pPr>
    </w:p>
    <w:p>
      <w:pPr>
        <w:spacing w:line="560" w:lineRule="exact"/>
        <w:ind w:firstLine="643" w:firstLineChars="200"/>
        <w:jc w:val="center"/>
        <w:rPr>
          <w:rFonts w:hint="eastAsia" w:ascii="楷体" w:hAnsi="楷体" w:eastAsia="楷体" w:cs="仿宋_GB2312"/>
          <w:b/>
          <w:sz w:val="32"/>
          <w:szCs w:val="32"/>
        </w:rPr>
      </w:pPr>
    </w:p>
    <w:p>
      <w:pPr>
        <w:spacing w:line="560" w:lineRule="exact"/>
        <w:ind w:firstLine="643" w:firstLineChars="200"/>
        <w:jc w:val="center"/>
        <w:outlineLvl w:val="1"/>
        <w:rPr>
          <w:rFonts w:ascii="楷体" w:hAnsi="楷体" w:eastAsia="楷体" w:cs="仿宋_GB2312"/>
          <w:b/>
          <w:sz w:val="32"/>
          <w:szCs w:val="32"/>
        </w:rPr>
      </w:pPr>
      <w:bookmarkStart w:id="29" w:name="_Toc168"/>
      <w:r>
        <w:rPr>
          <w:rFonts w:hint="eastAsia" w:ascii="楷体" w:hAnsi="楷体" w:eastAsia="楷体" w:cs="仿宋_GB2312"/>
          <w:b/>
          <w:sz w:val="32"/>
          <w:szCs w:val="32"/>
        </w:rPr>
        <w:t>第四节  结案</w:t>
      </w:r>
      <w:bookmarkEnd w:id="29"/>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一、适用条件。</w:t>
      </w:r>
      <w:r>
        <w:rPr>
          <w:rFonts w:hint="eastAsia" w:ascii="仿宋_GB2312" w:hAnsi="仿宋_GB2312" w:eastAsia="仿宋_GB2312" w:cs="仿宋_GB2312"/>
          <w:sz w:val="32"/>
          <w:szCs w:val="32"/>
        </w:rPr>
        <w:t>行政处罚案件有下列情形之一的，应当予以结案：</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（一）依法履行行政处罚决定的；</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（二）不予行政处罚的；</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（三）移送司法机关或者其他部门处理的；</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（四）申请强制执行，且法院已受理或者作出裁定的；</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（五）其他应予结案的情形。</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二、填写《结案审批表》。</w:t>
      </w:r>
      <w:r>
        <w:rPr>
          <w:rFonts w:hint="eastAsia" w:ascii="仿宋_GB2312" w:hAnsi="仿宋_GB2312" w:eastAsia="仿宋_GB2312" w:cs="仿宋_GB2312"/>
          <w:sz w:val="32"/>
          <w:szCs w:val="32"/>
        </w:rPr>
        <w:t>行政处罚案件终结后，安全生产行政执法人员应填写《结案审批表》，由区应急管理局主管领导审核、</w:t>
      </w:r>
      <w:r>
        <w:rPr>
          <w:rFonts w:ascii="仿宋_GB2312" w:hAnsi="仿宋_GB2312" w:eastAsia="仿宋_GB2312" w:cs="仿宋_GB2312"/>
          <w:sz w:val="32"/>
          <w:szCs w:val="32"/>
        </w:rPr>
        <w:t>主要领导</w:t>
      </w:r>
      <w:r>
        <w:rPr>
          <w:rFonts w:hint="eastAsia" w:ascii="仿宋_GB2312" w:hAnsi="仿宋_GB2312" w:eastAsia="仿宋_GB2312" w:cs="仿宋_GB2312"/>
          <w:sz w:val="32"/>
          <w:szCs w:val="32"/>
        </w:rPr>
        <w:t>批准结案。</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三、归档。</w:t>
      </w:r>
      <w:r>
        <w:rPr>
          <w:rFonts w:hint="eastAsia" w:ascii="仿宋_GB2312" w:hAnsi="仿宋_GB2312" w:eastAsia="仿宋_GB2312" w:cs="仿宋_GB2312"/>
          <w:sz w:val="32"/>
          <w:szCs w:val="32"/>
        </w:rPr>
        <w:t>安全生产行政处罚案件结案后，应当按照安全生产执法文书的时间顺序和执法程序排序进行归档。</w:t>
      </w:r>
    </w:p>
    <w:p>
      <w:pPr>
        <w:spacing w:line="560" w:lineRule="exact"/>
        <w:ind w:firstLine="643" w:firstLineChars="200"/>
        <w:jc w:val="center"/>
        <w:outlineLvl w:val="1"/>
        <w:rPr>
          <w:rFonts w:ascii="楷体" w:hAnsi="楷体" w:eastAsia="楷体" w:cs="仿宋_GB2312"/>
          <w:b/>
          <w:sz w:val="32"/>
          <w:szCs w:val="32"/>
        </w:rPr>
      </w:pPr>
      <w:bookmarkStart w:id="30" w:name="_Toc8469"/>
      <w:r>
        <w:rPr>
          <w:rFonts w:hint="eastAsia" w:ascii="楷体" w:hAnsi="楷体" w:eastAsia="楷体" w:cs="仿宋_GB2312"/>
          <w:b/>
          <w:sz w:val="32"/>
          <w:szCs w:val="32"/>
        </w:rPr>
        <w:t>第五节  备案</w:t>
      </w:r>
      <w:bookmarkEnd w:id="30"/>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w:t>
      </w:r>
      <w:r>
        <w:rPr>
          <w:rFonts w:hint="eastAsia" w:ascii="仿宋_GB2312" w:hAnsi="仿宋_GB2312" w:eastAsia="仿宋_GB2312" w:cs="仿宋_GB2312"/>
          <w:sz w:val="32"/>
          <w:szCs w:val="32"/>
        </w:rPr>
        <w:t>区县级安全生产监督管理部门处以５万元以上罚款、没收非法所得５万元以上，责令停产停业整顿、停产停业、停止建设、停止施工，撤销、吊销有关资格、岗位证书或者许可证的行政处罚的，应当自作出行政处罚决定之日起</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日内报市局备案。</w:t>
      </w:r>
    </w:p>
    <w:p>
      <w:pPr>
        <w:widowControl/>
        <w:ind w:firstLine="640" w:firstLineChars="200"/>
        <w:jc w:val="both"/>
        <w:rPr>
          <w:rFonts w:hint="eastAsia" w:ascii="仿宋_GB2312" w:hAnsi="仿宋_GB2312" w:eastAsia="仿宋_GB2312" w:cs="仿宋_GB2312"/>
          <w:sz w:val="32"/>
          <w:szCs w:val="32"/>
        </w:rPr>
      </w:pPr>
      <w:r>
        <w:rPr>
          <w:rFonts w:hint="eastAsia" w:ascii="黑体" w:hAnsi="黑体" w:eastAsia="黑体" w:cs="仿宋_GB2312"/>
          <w:sz w:val="32"/>
          <w:szCs w:val="32"/>
          <w:lang w:eastAsia="zh-CN"/>
        </w:rPr>
        <w:t>二、</w:t>
      </w:r>
      <w:r>
        <w:rPr>
          <w:rFonts w:hint="eastAsia" w:ascii="仿宋_GB2312" w:hAnsi="仿宋_GB2312" w:eastAsia="仿宋_GB2312" w:cs="仿宋_GB2312"/>
          <w:sz w:val="32"/>
          <w:szCs w:val="32"/>
        </w:rPr>
        <w:t>对安全监管局交办案件给予行政处罚的，区安全监管局自</w:t>
      </w:r>
      <w:r>
        <w:rPr>
          <w:rFonts w:hint="eastAsia" w:ascii="仿宋_GB2312" w:hAnsi="仿宋_GB2312" w:eastAsia="仿宋_GB2312" w:cs="仿宋_GB2312"/>
          <w:sz w:val="32"/>
          <w:szCs w:val="32"/>
          <w:lang w:eastAsia="zh-CN"/>
        </w:rPr>
        <w:t>作</w:t>
      </w:r>
      <w:r>
        <w:rPr>
          <w:rFonts w:hint="eastAsia" w:ascii="仿宋_GB2312" w:hAnsi="仿宋_GB2312" w:eastAsia="仿宋_GB2312" w:cs="仿宋_GB2312"/>
          <w:sz w:val="32"/>
          <w:szCs w:val="32"/>
        </w:rPr>
        <w:t>出行政处罚决定之日起</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日内报市局备案。</w:t>
      </w:r>
    </w:p>
    <w:p>
      <w:pPr>
        <w:widowControl/>
        <w:jc w:val="center"/>
        <w:rPr>
          <w:rFonts w:hint="eastAsia" w:ascii="仿宋_GB2312" w:hAnsi="仿宋_GB2312" w:eastAsia="仿宋_GB2312" w:cs="仿宋_GB2312"/>
          <w:sz w:val="32"/>
          <w:szCs w:val="32"/>
        </w:rPr>
      </w:pPr>
    </w:p>
    <w:p>
      <w:pPr>
        <w:widowControl/>
        <w:jc w:val="center"/>
        <w:rPr>
          <w:rFonts w:hint="eastAsia" w:ascii="仿宋_GB2312" w:hAnsi="仿宋_GB2312" w:eastAsia="仿宋_GB2312" w:cs="仿宋_GB2312"/>
          <w:sz w:val="32"/>
          <w:szCs w:val="32"/>
        </w:rPr>
      </w:pPr>
    </w:p>
    <w:p>
      <w:pPr>
        <w:widowControl/>
        <w:jc w:val="center"/>
        <w:rPr>
          <w:rFonts w:hint="eastAsia" w:ascii="仿宋_GB2312" w:hAnsi="仿宋_GB2312" w:eastAsia="仿宋_GB2312" w:cs="仿宋_GB2312"/>
          <w:sz w:val="32"/>
          <w:szCs w:val="32"/>
        </w:rPr>
      </w:pPr>
    </w:p>
    <w:p>
      <w:pPr>
        <w:widowControl/>
        <w:jc w:val="center"/>
        <w:rPr>
          <w:rFonts w:hint="eastAsia" w:ascii="仿宋_GB2312" w:hAnsi="仿宋_GB2312" w:eastAsia="仿宋_GB2312" w:cs="仿宋_GB2312"/>
          <w:sz w:val="32"/>
          <w:szCs w:val="32"/>
        </w:rPr>
      </w:pPr>
    </w:p>
    <w:p>
      <w:pPr>
        <w:widowControl/>
        <w:jc w:val="center"/>
        <w:rPr>
          <w:rFonts w:hint="eastAsia" w:ascii="仿宋_GB2312" w:hAnsi="仿宋_GB2312" w:eastAsia="仿宋_GB2312" w:cs="仿宋_GB2312"/>
          <w:sz w:val="32"/>
          <w:szCs w:val="32"/>
        </w:rPr>
      </w:pPr>
    </w:p>
    <w:p>
      <w:pPr>
        <w:widowControl/>
        <w:jc w:val="left"/>
        <w:rPr>
          <w:rFonts w:ascii="方正小标宋简体" w:hAnsi="方正小标宋简体" w:eastAsia="方正小标宋简体" w:cs="方正小标宋简体"/>
          <w:sz w:val="44"/>
          <w:szCs w:val="44"/>
        </w:rPr>
      </w:pPr>
    </w:p>
    <w:p>
      <w:pPr>
        <w:spacing w:line="560" w:lineRule="exact"/>
        <w:ind w:firstLine="643" w:firstLineChars="200"/>
        <w:jc w:val="center"/>
        <w:rPr>
          <w:rFonts w:hint="eastAsia" w:ascii="宋体" w:hAnsi="宋体" w:eastAsia="宋体" w:cs="仿宋_GB2312"/>
          <w:b/>
          <w:sz w:val="32"/>
          <w:szCs w:val="32"/>
        </w:rPr>
      </w:pPr>
    </w:p>
    <w:p>
      <w:pPr>
        <w:spacing w:line="560" w:lineRule="exact"/>
        <w:ind w:firstLine="643" w:firstLineChars="200"/>
        <w:jc w:val="center"/>
        <w:outlineLvl w:val="0"/>
        <w:rPr>
          <w:rFonts w:ascii="宋体" w:hAnsi="宋体" w:eastAsia="宋体" w:cs="仿宋_GB2312"/>
          <w:b/>
          <w:sz w:val="32"/>
          <w:szCs w:val="32"/>
        </w:rPr>
      </w:pPr>
      <w:bookmarkStart w:id="31" w:name="_Toc28673"/>
      <w:r>
        <w:rPr>
          <w:rFonts w:hint="eastAsia" w:ascii="宋体" w:hAnsi="宋体" w:eastAsia="宋体" w:cs="仿宋_GB2312"/>
          <w:b/>
          <w:sz w:val="32"/>
          <w:szCs w:val="32"/>
        </w:rPr>
        <w:t>第五章  行政检查服务指南</w:t>
      </w:r>
      <w:bookmarkEnd w:id="31"/>
    </w:p>
    <w:p>
      <w:pPr>
        <w:spacing w:line="560" w:lineRule="exact"/>
        <w:ind w:firstLine="643" w:firstLineChars="200"/>
        <w:jc w:val="center"/>
        <w:outlineLvl w:val="1"/>
        <w:rPr>
          <w:rFonts w:ascii="楷体" w:hAnsi="楷体" w:eastAsia="楷体" w:cs="仿宋_GB2312"/>
          <w:b/>
          <w:sz w:val="32"/>
          <w:szCs w:val="32"/>
        </w:rPr>
      </w:pPr>
      <w:bookmarkStart w:id="32" w:name="_Toc26445"/>
      <w:r>
        <w:rPr>
          <w:rFonts w:hint="eastAsia" w:ascii="楷体" w:hAnsi="楷体" w:eastAsia="楷体" w:cs="仿宋_GB2312"/>
          <w:b/>
          <w:sz w:val="32"/>
          <w:szCs w:val="32"/>
        </w:rPr>
        <w:t>第一节  编制现场检查方案</w:t>
      </w:r>
      <w:bookmarkEnd w:id="32"/>
    </w:p>
    <w:p>
      <w:pPr>
        <w:spacing w:line="560" w:lineRule="exact"/>
        <w:ind w:firstLine="643" w:firstLineChars="200"/>
        <w:jc w:val="center"/>
        <w:rPr>
          <w:rFonts w:ascii="楷体" w:hAnsi="楷体" w:eastAsia="楷体" w:cs="仿宋_GB2312"/>
          <w:b/>
          <w:sz w:val="32"/>
          <w:szCs w:val="32"/>
        </w:rPr>
      </w:pP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一、编制主体。</w:t>
      </w:r>
      <w:r>
        <w:rPr>
          <w:rFonts w:hint="eastAsia" w:ascii="仿宋_GB2312" w:hAnsi="仿宋_GB2312" w:eastAsia="仿宋_GB2312" w:cs="仿宋_GB2312"/>
          <w:sz w:val="32"/>
          <w:szCs w:val="32"/>
        </w:rPr>
        <w:t>对生产经营单位开展行政执法检查前，检查人员应当依照监督检查计划的要求，综合分析被检查对象生产经营性质、重点环节、重点场所、重点部位等因素，有针对性地制定《现场检查方案》，并经区应急管理局主管领导审核、批准后，方可实施监督检查。</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二、编制原则。</w:t>
      </w:r>
      <w:r>
        <w:rPr>
          <w:rFonts w:hint="eastAsia" w:ascii="仿宋_GB2312" w:hAnsi="仿宋_GB2312" w:eastAsia="仿宋_GB2312" w:cs="仿宋_GB2312"/>
          <w:sz w:val="32"/>
          <w:szCs w:val="32"/>
        </w:rPr>
        <w:t>编制现场检查方案应当遵循依据准确、结合实际、突出重点的原则。</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三、基本内容。</w:t>
      </w:r>
      <w:r>
        <w:rPr>
          <w:rFonts w:hint="eastAsia" w:ascii="仿宋_GB2312" w:hAnsi="仿宋_GB2312" w:eastAsia="仿宋_GB2312" w:cs="仿宋_GB2312"/>
          <w:sz w:val="32"/>
          <w:szCs w:val="32"/>
        </w:rPr>
        <w:t>应当包括被检查对象的名称、类型等基本信息，监督检查的方式和重点内容以及其他应当明确的情况，并按规定归档保存。</w:t>
      </w:r>
    </w:p>
    <w:p>
      <w:pPr>
        <w:spacing w:line="560" w:lineRule="exact"/>
        <w:ind w:firstLine="643" w:firstLineChars="200"/>
        <w:jc w:val="center"/>
        <w:outlineLvl w:val="1"/>
        <w:rPr>
          <w:rFonts w:ascii="楷体" w:hAnsi="楷体" w:eastAsia="楷体" w:cs="仿宋_GB2312"/>
          <w:b/>
          <w:sz w:val="32"/>
          <w:szCs w:val="32"/>
        </w:rPr>
      </w:pPr>
      <w:bookmarkStart w:id="33" w:name="_Toc14122"/>
      <w:r>
        <w:rPr>
          <w:rFonts w:hint="eastAsia" w:ascii="楷体" w:hAnsi="楷体" w:eastAsia="楷体" w:cs="仿宋_GB2312"/>
          <w:b/>
          <w:sz w:val="32"/>
          <w:szCs w:val="32"/>
        </w:rPr>
        <w:t>第二节现场检查有关规定和依据</w:t>
      </w:r>
      <w:bookmarkEnd w:id="33"/>
    </w:p>
    <w:p>
      <w:pPr>
        <w:spacing w:line="560" w:lineRule="exact"/>
        <w:ind w:firstLine="640" w:firstLineChars="200"/>
        <w:jc w:val="both"/>
        <w:rPr>
          <w:rFonts w:ascii="黑体" w:hAnsi="黑体" w:eastAsia="黑体" w:cs="仿宋_GB2312"/>
          <w:sz w:val="32"/>
          <w:szCs w:val="32"/>
        </w:rPr>
      </w:pPr>
      <w:r>
        <w:rPr>
          <w:rFonts w:hint="eastAsia" w:ascii="黑体" w:hAnsi="黑体" w:eastAsia="黑体" w:cs="仿宋_GB2312"/>
          <w:sz w:val="32"/>
          <w:szCs w:val="32"/>
        </w:rPr>
        <w:t>一、有关规定</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1、</w:t>
      </w:r>
      <w:r>
        <w:rPr>
          <w:rFonts w:hint="eastAsia" w:ascii="仿宋_GB2312" w:hAnsi="仿宋_GB2312" w:eastAsia="仿宋_GB2312" w:cs="仿宋_GB2312"/>
          <w:sz w:val="32"/>
          <w:szCs w:val="32"/>
        </w:rPr>
        <w:t>安全生产行政执法人员开展现场监督检查，应当根据被检查对象作业现场有关职业危害因素等，配备必要的个体防护装备。</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2、安全生产监督管理部门可以聘请或者委托安全生产技术服务机构和专家开展安全检查，并签订服务协议，约定各自的权利和义务。安全生产技术服务机构和专家按照协议约定享有权利、承担义务。</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二、行政检查依据</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中华人民共和国</w:t>
      </w:r>
      <w:r>
        <w:rPr>
          <w:rFonts w:hint="eastAsia" w:ascii="仿宋_GB2312" w:hAnsi="仿宋_GB2312" w:eastAsia="仿宋_GB2312" w:cs="仿宋_GB2312"/>
          <w:sz w:val="32"/>
          <w:szCs w:val="32"/>
        </w:rPr>
        <w:t>安全生产法》第62条、第64条、第65条</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2、《安全生产监管监察职责和行政执法责任追究的规定》（</w:t>
      </w:r>
      <w:r>
        <w:rPr>
          <w:rFonts w:hint="eastAsia" w:ascii="仿宋_GB2312" w:hAnsi="仿宋_GB2312" w:eastAsia="仿宋_GB2312" w:cs="仿宋_GB2312"/>
          <w:sz w:val="32"/>
          <w:szCs w:val="32"/>
          <w:lang w:val="en-US" w:eastAsia="zh-CN"/>
        </w:rPr>
        <w:t>2009</w:t>
      </w:r>
      <w:r>
        <w:rPr>
          <w:rFonts w:hint="eastAsia" w:ascii="仿宋_GB2312" w:hAnsi="仿宋_GB2312" w:eastAsia="仿宋_GB2312" w:cs="仿宋_GB2312"/>
          <w:sz w:val="32"/>
          <w:szCs w:val="32"/>
        </w:rPr>
        <w:t>年７月</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日国家安全监管总局令第</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号公布，根据</w:t>
      </w:r>
      <w:r>
        <w:rPr>
          <w:rFonts w:hint="eastAsia" w:ascii="仿宋_GB2312" w:hAnsi="仿宋_GB2312" w:eastAsia="仿宋_GB2312" w:cs="仿宋_GB2312"/>
          <w:sz w:val="32"/>
          <w:szCs w:val="32"/>
          <w:lang w:val="en-US" w:eastAsia="zh-CN"/>
        </w:rPr>
        <w:t>2013</w:t>
      </w:r>
      <w:r>
        <w:rPr>
          <w:rFonts w:hint="eastAsia" w:ascii="仿宋_GB2312" w:hAnsi="仿宋_GB2312" w:eastAsia="仿宋_GB2312" w:cs="仿宋_GB2312"/>
          <w:sz w:val="32"/>
          <w:szCs w:val="32"/>
        </w:rPr>
        <w:t>年８月</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日国家安全监管总局令第</w:t>
      </w:r>
      <w:r>
        <w:rPr>
          <w:rFonts w:hint="eastAsia" w:ascii="仿宋_GB2312" w:hAnsi="仿宋_GB2312" w:eastAsia="仿宋_GB2312" w:cs="仿宋_GB2312"/>
          <w:sz w:val="32"/>
          <w:szCs w:val="32"/>
          <w:lang w:val="en-US" w:eastAsia="zh-CN"/>
        </w:rPr>
        <w:t>63</w:t>
      </w:r>
      <w:r>
        <w:rPr>
          <w:rFonts w:hint="eastAsia" w:ascii="仿宋_GB2312" w:hAnsi="仿宋_GB2312" w:eastAsia="仿宋_GB2312" w:cs="仿宋_GB2312"/>
          <w:sz w:val="32"/>
          <w:szCs w:val="32"/>
        </w:rPr>
        <w:t>号第一次修正，根据</w:t>
      </w:r>
      <w:r>
        <w:rPr>
          <w:rFonts w:hint="eastAsia" w:ascii="仿宋_GB2312" w:hAnsi="仿宋_GB2312" w:eastAsia="仿宋_GB2312" w:cs="仿宋_GB2312"/>
          <w:sz w:val="32"/>
          <w:szCs w:val="32"/>
          <w:lang w:val="en-US" w:eastAsia="zh-CN"/>
        </w:rPr>
        <w:t>2015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日国家安全监管总局令第</w:t>
      </w:r>
      <w:r>
        <w:rPr>
          <w:rFonts w:hint="eastAsia" w:ascii="仿宋_GB2312" w:hAnsi="仿宋_GB2312" w:eastAsia="仿宋_GB2312" w:cs="仿宋_GB2312"/>
          <w:sz w:val="32"/>
          <w:szCs w:val="32"/>
          <w:lang w:val="en-US" w:eastAsia="zh-CN"/>
        </w:rPr>
        <w:t>77</w:t>
      </w:r>
      <w:r>
        <w:rPr>
          <w:rFonts w:hint="eastAsia" w:ascii="仿宋_GB2312" w:hAnsi="仿宋_GB2312" w:eastAsia="仿宋_GB2312" w:cs="仿宋_GB2312"/>
          <w:sz w:val="32"/>
          <w:szCs w:val="32"/>
        </w:rPr>
        <w:t>号第二次修正）</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3、《国家安全监管总局关于印发安全生产监管年度执法工作计划编制办法的通知》（安监总政法〔</w:t>
      </w:r>
      <w:r>
        <w:rPr>
          <w:rFonts w:hint="eastAsia" w:ascii="仿宋_GB2312" w:hAnsi="仿宋_GB2312" w:eastAsia="仿宋_GB2312" w:cs="仿宋_GB2312"/>
          <w:sz w:val="32"/>
          <w:szCs w:val="32"/>
          <w:lang w:val="en-US" w:eastAsia="zh-CN"/>
        </w:rPr>
        <w:t>2010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183</w:t>
      </w:r>
      <w:r>
        <w:rPr>
          <w:rFonts w:hint="eastAsia" w:ascii="仿宋_GB2312" w:hAnsi="仿宋_GB2312" w:eastAsia="仿宋_GB2312" w:cs="仿宋_GB2312"/>
          <w:sz w:val="32"/>
          <w:szCs w:val="32"/>
        </w:rPr>
        <w:t>号）</w:t>
      </w:r>
    </w:p>
    <w:p>
      <w:pPr>
        <w:spacing w:line="560" w:lineRule="exact"/>
        <w:ind w:firstLine="643" w:firstLineChars="200"/>
        <w:jc w:val="center"/>
        <w:outlineLvl w:val="1"/>
        <w:rPr>
          <w:rFonts w:ascii="楷体" w:hAnsi="楷体" w:eastAsia="楷体" w:cs="仿宋_GB2312"/>
          <w:b/>
          <w:sz w:val="32"/>
          <w:szCs w:val="32"/>
        </w:rPr>
      </w:pPr>
      <w:bookmarkStart w:id="34" w:name="_Toc16513"/>
      <w:r>
        <w:rPr>
          <w:rFonts w:hint="eastAsia" w:ascii="楷体" w:hAnsi="楷体" w:eastAsia="楷体" w:cs="仿宋_GB2312"/>
          <w:b/>
          <w:sz w:val="32"/>
          <w:szCs w:val="32"/>
        </w:rPr>
        <w:t>第三节 现场检查一般程序</w:t>
      </w:r>
      <w:bookmarkEnd w:id="34"/>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一、出示证件。</w:t>
      </w:r>
      <w:r>
        <w:rPr>
          <w:rFonts w:hint="eastAsia" w:ascii="仿宋_GB2312" w:hAnsi="仿宋_GB2312" w:eastAsia="仿宋_GB2312" w:cs="仿宋_GB2312"/>
          <w:sz w:val="32"/>
          <w:szCs w:val="32"/>
        </w:rPr>
        <w:t>开展安全生产监督检查时，安全生产行政执法人员不得少于两名，并必须出示合法有效的行政执法证件。</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二、说明来意。</w:t>
      </w:r>
      <w:r>
        <w:rPr>
          <w:rFonts w:hint="eastAsia" w:ascii="仿宋_GB2312" w:hAnsi="仿宋_GB2312" w:eastAsia="仿宋_GB2312" w:cs="仿宋_GB2312"/>
          <w:sz w:val="32"/>
          <w:szCs w:val="32"/>
        </w:rPr>
        <w:t>向被检查对象告知来意，并使用“我们是峰峰矿区应急管理局的行政执法人员×××、×××，证件号码为××××、××××，这是我们的证件。现依法对你单位进行监督检查，请予以配合”等规范用语。</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三、现场检查。</w:t>
      </w:r>
      <w:r>
        <w:rPr>
          <w:rFonts w:hint="eastAsia" w:ascii="仿宋_GB2312" w:hAnsi="仿宋_GB2312" w:eastAsia="仿宋_GB2312" w:cs="仿宋_GB2312"/>
          <w:sz w:val="32"/>
          <w:szCs w:val="32"/>
        </w:rPr>
        <w:t>开展监督检查一般按照下列步骤进行：</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（一）听取情况介绍。</w:t>
      </w:r>
      <w:r>
        <w:rPr>
          <w:rFonts w:hint="eastAsia" w:ascii="仿宋_GB2312" w:hAnsi="仿宋_GB2312" w:eastAsia="仿宋_GB2312" w:cs="仿宋_GB2312"/>
          <w:sz w:val="32"/>
          <w:szCs w:val="32"/>
        </w:rPr>
        <w:t>进行执法检查时，首先听取生产经营单位安全生产工作情况的介绍，了解和掌握安全生产工作的基本状况。主要包括：建章立制、安全教育培训、安全经费投入、应急管理、现场管理、重大危险源管理、重点安全部位管理情况等。</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（二）实施现场检查。</w:t>
      </w:r>
      <w:r>
        <w:rPr>
          <w:rFonts w:hint="eastAsia" w:ascii="仿宋_GB2312" w:hAnsi="仿宋_GB2312" w:eastAsia="仿宋_GB2312" w:cs="仿宋_GB2312"/>
          <w:sz w:val="32"/>
          <w:szCs w:val="32"/>
        </w:rPr>
        <w:t>安全生产行政执法人员进行现场监督检查时，应当依照现场检查方案，对生产经营单位的安全生产文件资料和生产经营场所进行检查。</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1、检查文件资料。</w:t>
      </w:r>
      <w:r>
        <w:rPr>
          <w:rFonts w:hint="eastAsia" w:ascii="仿宋_GB2312" w:hAnsi="仿宋_GB2312" w:eastAsia="仿宋_GB2312" w:cs="仿宋_GB2312"/>
          <w:sz w:val="32"/>
          <w:szCs w:val="32"/>
        </w:rPr>
        <w:t>行政执法人员检查时，可以依据预先制定的检查表，逐项进行检查。对检查中发现的问题，应及时询问核实，并做好相应记录。</w:t>
      </w:r>
    </w:p>
    <w:p>
      <w:pPr>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2、检查生产经营场所。</w:t>
      </w:r>
      <w:r>
        <w:rPr>
          <w:rFonts w:hint="eastAsia" w:ascii="仿宋_GB2312" w:hAnsi="仿宋_GB2312" w:eastAsia="仿宋_GB2312" w:cs="仿宋_GB2312"/>
          <w:sz w:val="32"/>
          <w:szCs w:val="32"/>
        </w:rPr>
        <w:t>对生产经营场所进行检查时，应以生产经营单位的重点安全部位和重点生产经营环节为主，例如：重大危险源、重大事故隐患、有毒有害、易燃易爆作业场所、重点车间、仓库、应急设施设备和器材、变电室现场等。</w:t>
      </w:r>
    </w:p>
    <w:p>
      <w:pPr>
        <w:spacing w:line="560"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（三）反馈检查情况。</w:t>
      </w:r>
      <w:r>
        <w:rPr>
          <w:rFonts w:hint="eastAsia" w:ascii="仿宋_GB2312" w:hAnsi="仿宋_GB2312" w:eastAsia="仿宋_GB2312" w:cs="仿宋_GB2312"/>
          <w:sz w:val="32"/>
          <w:szCs w:val="32"/>
        </w:rPr>
        <w:t>行政执法人员对监督检查发现的安全生产违法行为或者事故隐患，</w:t>
      </w:r>
      <w:r>
        <w:rPr>
          <w:rFonts w:hint="eastAsia" w:ascii="仿宋_GB2312" w:hAnsi="仿宋_GB2312" w:eastAsia="仿宋_GB2312" w:cs="仿宋_GB2312"/>
          <w:color w:val="000000"/>
          <w:sz w:val="32"/>
          <w:szCs w:val="32"/>
        </w:rPr>
        <w:t>应当依照有关</w:t>
      </w:r>
      <w:r>
        <w:rPr>
          <w:rFonts w:hint="eastAsia" w:ascii="仿宋_GB2312" w:hAnsi="仿宋_GB2312" w:eastAsia="仿宋_GB2312" w:cs="仿宋_GB2312"/>
          <w:sz w:val="32"/>
          <w:szCs w:val="32"/>
        </w:rPr>
        <w:t>规定采取相关处理措施，并向生产经营单位反馈检查情况，提出整改要求，按规定制作相关执法文书，督促生产经营单位及有关人员依法履行相关的安全生产责任。</w:t>
      </w:r>
    </w:p>
    <w:p>
      <w:pPr>
        <w:spacing w:line="560" w:lineRule="exact"/>
        <w:ind w:firstLine="643" w:firstLineChars="200"/>
        <w:jc w:val="center"/>
        <w:outlineLvl w:val="1"/>
        <w:rPr>
          <w:rFonts w:ascii="楷体" w:hAnsi="楷体" w:eastAsia="楷体" w:cs="仿宋_GB2312"/>
          <w:b/>
          <w:sz w:val="32"/>
          <w:szCs w:val="32"/>
        </w:rPr>
      </w:pPr>
      <w:bookmarkStart w:id="35" w:name="_Toc11043"/>
      <w:r>
        <w:rPr>
          <w:rFonts w:hint="eastAsia" w:ascii="楷体" w:hAnsi="楷体" w:eastAsia="楷体" w:cs="仿宋_GB2312"/>
          <w:b/>
          <w:sz w:val="32"/>
          <w:szCs w:val="32"/>
        </w:rPr>
        <w:t>第四节 检查方式</w:t>
      </w:r>
      <w:bookmarkEnd w:id="35"/>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区应急管理局相关业务科室根据职责，对生产经营单位遵守有关安全生产的法律、法规、规章以及国家标准、行业标准的情况进行监督检查。监督检查分为计划检查和非计划检查两种方式。计划检查是指按照年度监督检查计划开展的检查，非计划检查是指完成上级部门、同级政府交办任务、对安全生产投诉举报事项进行调查核实等开展的检查。</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计划检查分为重点检查和一般检查。区应急管理局各科室应当突出重点检查，确保对按规定纳入重点检查生产经营单位的检查频次。一般检查，是指在年度监督检查计划中的重点检查之外，确定一定数量的生产经营单位，对其实施一般检查。</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区应急管理局各科室组织开展监督检查时，根据被检查生产经营单位的范围、数量以及行政执法人员数量等情况，随机抽取被检查对象、随机选派行政执法人员，推行“双随机”抽查。</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按照年度监督检查计划的安排或者根据实际需要组织开展非计划检查涉及多个部门职责的，区应急管理局各科室会同有关部门开展联合检查。</w:t>
      </w:r>
    </w:p>
    <w:p>
      <w:pPr>
        <w:spacing w:line="560" w:lineRule="exact"/>
        <w:ind w:firstLine="643" w:firstLineChars="200"/>
        <w:jc w:val="center"/>
        <w:outlineLvl w:val="1"/>
        <w:rPr>
          <w:rFonts w:ascii="楷体" w:hAnsi="楷体" w:eastAsia="楷体" w:cs="仿宋_GB2312"/>
          <w:b/>
          <w:sz w:val="32"/>
          <w:szCs w:val="32"/>
        </w:rPr>
      </w:pPr>
      <w:bookmarkStart w:id="36" w:name="_Toc17145"/>
      <w:r>
        <w:rPr>
          <w:rFonts w:hint="eastAsia" w:ascii="楷体" w:hAnsi="楷体" w:eastAsia="楷体" w:cs="仿宋_GB2312"/>
          <w:b/>
          <w:sz w:val="32"/>
          <w:szCs w:val="32"/>
        </w:rPr>
        <w:t>第五节 现场检查内容</w:t>
      </w:r>
      <w:bookmarkEnd w:id="36"/>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区应急管理局各科室应当严格按照年度监督检查计划或者关于开展非计划检查的相关安排，进行监督检查活动，根据区应急管理局《</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年度监督检查计划》规定的检查内容，参照国家安全监管总局制定的监督检查重点事项，确定具体的检查事项。</w:t>
      </w:r>
    </w:p>
    <w:p>
      <w:pPr>
        <w:spacing w:line="560" w:lineRule="exact"/>
        <w:ind w:firstLine="643" w:firstLineChars="200"/>
        <w:jc w:val="center"/>
        <w:outlineLvl w:val="1"/>
        <w:rPr>
          <w:rFonts w:ascii="楷体" w:hAnsi="楷体" w:eastAsia="楷体" w:cs="仿宋_GB2312"/>
          <w:b/>
          <w:sz w:val="32"/>
          <w:szCs w:val="32"/>
        </w:rPr>
      </w:pPr>
      <w:bookmarkStart w:id="37" w:name="_Toc28982"/>
      <w:r>
        <w:rPr>
          <w:rFonts w:hint="eastAsia" w:ascii="楷体" w:hAnsi="楷体" w:eastAsia="楷体" w:cs="仿宋_GB2312"/>
          <w:b/>
          <w:sz w:val="32"/>
          <w:szCs w:val="32"/>
        </w:rPr>
        <w:t>第六节 现场检查记录</w:t>
      </w:r>
      <w:bookmarkEnd w:id="37"/>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监督检查结束后，安全生产行政执法人员应当制作《现场检查记录》，将检查的时间、地点、内容、发现的问题及其处理情况如实记录，并由行政执法人员和被检查单位的负责人签字；被检查单位的负责人拒绝签字的，安全生产行政执法人员应当将情况记录在案，并向区应急管理局报告。</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制作《现场检查记录》应当符合下列要求：</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一、检查场所。</w:t>
      </w:r>
      <w:r>
        <w:rPr>
          <w:rFonts w:hint="eastAsia" w:ascii="仿宋_GB2312" w:hAnsi="仿宋_GB2312" w:eastAsia="仿宋_GB2312" w:cs="仿宋_GB2312"/>
          <w:sz w:val="32"/>
          <w:szCs w:val="32"/>
        </w:rPr>
        <w:t>注明场所名称，对多个独立场所，原则上应分别制作文书，或者在一份文书中分别作出准确的描述。</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二、检查时间。</w:t>
      </w:r>
      <w:r>
        <w:rPr>
          <w:rFonts w:hint="eastAsia" w:ascii="仿宋_GB2312" w:hAnsi="仿宋_GB2312" w:eastAsia="仿宋_GB2312" w:cs="仿宋_GB2312"/>
          <w:sz w:val="32"/>
          <w:szCs w:val="32"/>
        </w:rPr>
        <w:t>检查时间应具体到检查起止时间的年、月、日、时、分。</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三、检查情况。</w:t>
      </w:r>
      <w:r>
        <w:rPr>
          <w:rFonts w:hint="eastAsia" w:ascii="仿宋_GB2312" w:hAnsi="仿宋_GB2312" w:eastAsia="仿宋_GB2312" w:cs="仿宋_GB2312"/>
          <w:sz w:val="32"/>
          <w:szCs w:val="32"/>
        </w:rPr>
        <w:t>按照检查过程详细记录检查的内容、方法、结果等。检查情况要客观、准确，如实记载行政执法人员在现场观察到的实际情况，反映其客观的原始状态。涉及专业性检查时，应当使用专业性规范用语。对于检查发现的问题，应有法律、法规、规章或者国家标准、行业标准作为依据。</w:t>
      </w:r>
    </w:p>
    <w:p>
      <w:pPr>
        <w:spacing w:line="560" w:lineRule="exact"/>
        <w:ind w:firstLine="643" w:firstLineChars="200"/>
        <w:jc w:val="center"/>
        <w:outlineLvl w:val="1"/>
        <w:rPr>
          <w:rFonts w:ascii="楷体" w:hAnsi="楷体" w:eastAsia="楷体" w:cs="仿宋_GB2312"/>
          <w:b/>
          <w:sz w:val="32"/>
          <w:szCs w:val="32"/>
        </w:rPr>
      </w:pPr>
      <w:bookmarkStart w:id="38" w:name="_Toc20078"/>
      <w:r>
        <w:rPr>
          <w:rFonts w:hint="eastAsia" w:ascii="楷体" w:hAnsi="楷体" w:eastAsia="楷体" w:cs="仿宋_GB2312"/>
          <w:b/>
          <w:sz w:val="32"/>
          <w:szCs w:val="32"/>
        </w:rPr>
        <w:t>第七节 现场处理措施</w:t>
      </w:r>
      <w:bookmarkEnd w:id="38"/>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安全生产行政执法人员在现场检查时，对发现存在的安全生产违法行为或者生产安全事故隐患应当采取下列现场处理措施：</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1、当场予以纠正；</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2、责令限期改正、责令限期达到要求；</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3、责令立即停止作业（施工）、责令立即停止使用、责令立即排除事故隐患；</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4、责令从危险区域撤出作业人员；</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5、责令暂时停产停业、停止建设、停止施工或者停止使用相关设备、设施；</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6、依法应当采取的其他现场处理措施。</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现场处理措施决定文书中应当指明生产经营单位存在的违法行为或者生产安全事故隐患、所采取的现场处理措施和对应的法律依据。</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重大事故隐患排除前或者排除过程中无法保证安全的，应当根据实际情况采取责令从危险区域内撤出作业人员，责令暂时停产停业或者停止使用相关设施、设备等现场处理措施；重大事故隐患排除后，经审查同意，方可恢复生产经营和使用。</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整改期限原则上由行政执法人员根据违法行为或者存在的生产安全隐患的风险、整改难易程度等因素合理确定。因不可抗力无法在规定限期内完成的，应当在进行整改或者治理的同时，于限期届满前</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日内提出书面延期申请，区应急管理局应当在收到申请之日起５日内书面答复是否准予延期。</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暂时停产停业、停止建设、停止施工或者停止使用相关设施、设备的期限一般不超过６个月；法律、行政法规另有规定的，依照其规定。</w:t>
      </w:r>
    </w:p>
    <w:p>
      <w:pPr>
        <w:spacing w:line="560" w:lineRule="exact"/>
        <w:ind w:firstLine="643" w:firstLineChars="200"/>
        <w:jc w:val="center"/>
        <w:outlineLvl w:val="1"/>
        <w:rPr>
          <w:rFonts w:ascii="楷体" w:hAnsi="楷体" w:eastAsia="楷体" w:cs="仿宋_GB2312"/>
          <w:b/>
          <w:sz w:val="32"/>
          <w:szCs w:val="32"/>
        </w:rPr>
      </w:pPr>
      <w:bookmarkStart w:id="39" w:name="_Toc25453"/>
      <w:r>
        <w:rPr>
          <w:rFonts w:hint="eastAsia" w:ascii="楷体" w:hAnsi="楷体" w:eastAsia="楷体" w:cs="仿宋_GB2312"/>
          <w:b/>
          <w:sz w:val="32"/>
          <w:szCs w:val="32"/>
        </w:rPr>
        <w:t>第八节 其他处理措施</w:t>
      </w:r>
      <w:bookmarkEnd w:id="39"/>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1、立案查处。对检查中发现生产经营单位或者有关人员有违反安全生产法律法规的行为，依法应当给予行政处罚的，按照有关规定实施行政处罚。</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2、查封、扣押。对有根据认为不符合保障安全生产的国家标准或者行业标准的设施、设备、器材以及违法生产、储存、使用、经营、运输的危险物品予以查封或者扣押，按照本有关规定予以查封、扣押。</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3、移送。对发现存在的安全问题应当由其他有关部门进行处理的，按照有关规定及时移送其他有关部门处理。</w:t>
      </w:r>
    </w:p>
    <w:p>
      <w:pPr>
        <w:spacing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4、对责令限期整改的生产经营单位，生产经营单位提出复查申请或者整改、治理限期届满后，区应急管理局相关科室应当自申请或者限期届满之日起</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日内进行复查。</w:t>
      </w:r>
    </w:p>
    <w:p>
      <w:pPr>
        <w:spacing w:line="560" w:lineRule="exact"/>
        <w:ind w:firstLine="643" w:firstLineChars="200"/>
        <w:jc w:val="center"/>
        <w:outlineLvl w:val="1"/>
        <w:rPr>
          <w:rFonts w:ascii="楷体" w:hAnsi="楷体" w:eastAsia="楷体" w:cs="仿宋_GB2312"/>
          <w:b/>
          <w:sz w:val="32"/>
          <w:szCs w:val="32"/>
        </w:rPr>
      </w:pPr>
      <w:bookmarkStart w:id="40" w:name="_Toc12592"/>
      <w:r>
        <w:rPr>
          <w:rFonts w:hint="eastAsia" w:ascii="楷体" w:hAnsi="楷体" w:eastAsia="楷体" w:cs="仿宋_GB2312"/>
          <w:b/>
          <w:sz w:val="32"/>
          <w:szCs w:val="32"/>
        </w:rPr>
        <w:t>第九节  当事人的权力和义务</w:t>
      </w:r>
      <w:bookmarkEnd w:id="40"/>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一、</w:t>
      </w:r>
      <w:r>
        <w:rPr>
          <w:rFonts w:hint="eastAsia" w:ascii="仿宋_GB2312" w:hAnsi="仿宋_GB2312" w:eastAsia="仿宋_GB2312" w:cs="仿宋_GB2312"/>
          <w:sz w:val="32"/>
          <w:szCs w:val="32"/>
        </w:rPr>
        <w:t>区应急管理局开展安全生产监督检查时，生产经营单位有权监督安全生产行政执法人员不得少于两名，并具有合法有效的行政执法证件。</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二、</w:t>
      </w:r>
      <w:r>
        <w:rPr>
          <w:rFonts w:hint="eastAsia" w:ascii="仿宋_GB2312" w:hAnsi="仿宋_GB2312" w:eastAsia="仿宋_GB2312" w:cs="仿宋_GB2312"/>
          <w:sz w:val="32"/>
          <w:szCs w:val="32"/>
        </w:rPr>
        <w:t>区应急管理局开展安全生产监督检查时，生产经营单位有权监督安全生产执法人员受否告知监督检查依据和来意，并使用规范用语。</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三、</w:t>
      </w:r>
      <w:r>
        <w:rPr>
          <w:rFonts w:hint="eastAsia" w:ascii="仿宋_GB2312" w:hAnsi="仿宋_GB2312" w:eastAsia="仿宋_GB2312" w:cs="仿宋_GB2312"/>
          <w:sz w:val="32"/>
          <w:szCs w:val="32"/>
        </w:rPr>
        <w:t>区应急管理局开展安全生产监督检查时，生产经营单位有权监督安全生产执法人员不得影响其的正常生产经营活动。</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四、</w:t>
      </w:r>
      <w:r>
        <w:rPr>
          <w:rFonts w:hint="eastAsia" w:ascii="仿宋_GB2312" w:hAnsi="仿宋_GB2312" w:eastAsia="仿宋_GB2312" w:cs="仿宋_GB2312"/>
          <w:sz w:val="32"/>
          <w:szCs w:val="32"/>
        </w:rPr>
        <w:t>生产经营单位有权监督安全生产执法人员在执行监督检查任务时，对涉及自己的技术秘密和业务秘密，是否为其进行保密。</w:t>
      </w:r>
    </w:p>
    <w:p>
      <w:pPr>
        <w:spacing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sz w:val="32"/>
          <w:szCs w:val="32"/>
        </w:rPr>
        <w:t>五、</w:t>
      </w:r>
      <w:r>
        <w:rPr>
          <w:rFonts w:hint="eastAsia" w:ascii="仿宋_GB2312" w:hAnsi="仿宋_GB2312" w:eastAsia="仿宋_GB2312" w:cs="仿宋_GB2312"/>
          <w:sz w:val="32"/>
          <w:szCs w:val="32"/>
        </w:rPr>
        <w:t>生产经营单位对区应急管理局的监督检查人员依法履行监督检查职责，应当予以配合，不得拒绝、阻挠。</w:t>
      </w:r>
    </w:p>
    <w:p>
      <w:pPr>
        <w:adjustRightInd/>
        <w:snapToGrid/>
        <w:spacing w:line="560" w:lineRule="exact"/>
        <w:ind w:firstLine="384"/>
        <w:jc w:val="both"/>
        <w:rPr>
          <w:rFonts w:ascii="宋体" w:hAnsi="宋体" w:eastAsia="宋体" w:cs="宋体"/>
          <w:b/>
          <w:color w:val="000000"/>
          <w:sz w:val="32"/>
          <w:szCs w:val="32"/>
        </w:rPr>
      </w:pPr>
    </w:p>
    <w:p>
      <w:pPr>
        <w:spacing w:line="560" w:lineRule="exact"/>
        <w:ind w:firstLine="636"/>
        <w:jc w:val="both"/>
        <w:rPr>
          <w:rFonts w:ascii="仿宋" w:hAnsi="仿宋" w:eastAsia="仿宋"/>
          <w:sz w:val="32"/>
          <w:szCs w:val="32"/>
        </w:rPr>
      </w:pPr>
    </w:p>
    <w:p>
      <w:pPr>
        <w:widowControl/>
        <w:jc w:val="both"/>
        <w:rPr>
          <w:rFonts w:hint="eastAsia" w:ascii="方正小标宋简体" w:hAnsi="方正小标宋简体" w:eastAsia="方正小标宋简体" w:cs="方正小标宋简体"/>
          <w:sz w:val="44"/>
          <w:szCs w:val="44"/>
        </w:rPr>
      </w:pPr>
    </w:p>
    <w:p>
      <w:pPr>
        <w:widowControl/>
        <w:jc w:val="both"/>
        <w:rPr>
          <w:rFonts w:hint="eastAsia" w:ascii="方正小标宋简体" w:hAnsi="方正小标宋简体" w:eastAsia="方正小标宋简体" w:cs="方正小标宋简体"/>
          <w:sz w:val="44"/>
          <w:szCs w:val="44"/>
          <w:lang w:val="en-US" w:eastAsia="zh-CN"/>
        </w:rPr>
      </w:pPr>
    </w:p>
    <w:p>
      <w:pPr>
        <w:spacing w:line="560" w:lineRule="exact"/>
        <w:ind w:firstLine="643" w:firstLineChars="200"/>
        <w:jc w:val="center"/>
        <w:outlineLvl w:val="1"/>
        <w:rPr>
          <w:rFonts w:hint="eastAsia" w:ascii="楷体" w:hAnsi="楷体" w:eastAsia="楷体"/>
          <w:b/>
          <w:sz w:val="32"/>
          <w:szCs w:val="32"/>
          <w:lang w:val="en-US" w:eastAsia="zh-CN"/>
        </w:rPr>
      </w:pPr>
      <w:bookmarkStart w:id="41" w:name="_Toc10643"/>
      <w:r>
        <w:rPr>
          <w:rFonts w:hint="eastAsia" w:ascii="楷体" w:hAnsi="楷体" w:eastAsia="楷体"/>
          <w:b/>
          <w:sz w:val="32"/>
          <w:szCs w:val="32"/>
          <w:lang w:val="en-US" w:eastAsia="zh-CN"/>
        </w:rPr>
        <w:t>峰峰矿区应急管理局行政检查流程图</w:t>
      </w:r>
      <w:bookmarkEnd w:id="41"/>
    </w:p>
    <w:p>
      <w:pPr>
        <w:widowControl/>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drawing>
          <wp:anchor distT="0" distB="0" distL="114300" distR="114300" simplePos="0" relativeHeight="251661312" behindDoc="0" locked="0" layoutInCell="1" allowOverlap="1">
            <wp:simplePos x="0" y="0"/>
            <wp:positionH relativeFrom="column">
              <wp:posOffset>-1122045</wp:posOffset>
            </wp:positionH>
            <wp:positionV relativeFrom="paragraph">
              <wp:posOffset>107315</wp:posOffset>
            </wp:positionV>
            <wp:extent cx="7279005" cy="5121275"/>
            <wp:effectExtent l="0" t="0" r="17145" b="3175"/>
            <wp:wrapTopAndBottom/>
            <wp:docPr id="1" name="图片 1" descr="行政检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行政检查流程图"/>
                    <pic:cNvPicPr>
                      <a:picLocks noChangeAspect="1"/>
                    </pic:cNvPicPr>
                  </pic:nvPicPr>
                  <pic:blipFill>
                    <a:blip r:embed="rId9"/>
                    <a:stretch>
                      <a:fillRect/>
                    </a:stretch>
                  </pic:blipFill>
                  <pic:spPr>
                    <a:xfrm>
                      <a:off x="0" y="0"/>
                      <a:ext cx="7279005" cy="5121275"/>
                    </a:xfrm>
                    <a:prstGeom prst="rect">
                      <a:avLst/>
                    </a:prstGeom>
                  </pic:spPr>
                </pic:pic>
              </a:graphicData>
            </a:graphic>
          </wp:anchor>
        </w:drawing>
      </w:r>
    </w:p>
    <w:p>
      <w:pPr>
        <w:widowControl/>
        <w:jc w:val="both"/>
        <w:rPr>
          <w:rFonts w:hint="eastAsia" w:ascii="方正小标宋简体" w:hAnsi="方正小标宋简体" w:eastAsia="方正小标宋简体" w:cs="方正小标宋简体"/>
          <w:sz w:val="44"/>
          <w:szCs w:val="44"/>
          <w:lang w:eastAsia="zh-CN"/>
        </w:rPr>
      </w:pPr>
    </w:p>
    <w:sectPr>
      <w:footerReference r:id="rId3" w:type="default"/>
      <w:pgSz w:w="11906" w:h="16838"/>
      <w:pgMar w:top="2098" w:right="1474" w:bottom="1984" w:left="1587" w:header="0" w:footer="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altName w:val="微软雅黑"/>
    <w:panose1 w:val="00000000000000000000"/>
    <w:charset w:val="86"/>
    <w:family w:val="script"/>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2212681"/>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4F9A9E"/>
    <w:multiLevelType w:val="singleLevel"/>
    <w:tmpl w:val="354F9A9E"/>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xYjg0N2M5MWQ1NWFhNzNiMzhiZjExYzg0YTE5NmUifQ=="/>
  </w:docVars>
  <w:rsids>
    <w:rsidRoot w:val="001374C5"/>
    <w:rsid w:val="00081205"/>
    <w:rsid w:val="000A3A94"/>
    <w:rsid w:val="001374C5"/>
    <w:rsid w:val="001F222E"/>
    <w:rsid w:val="00232FD1"/>
    <w:rsid w:val="002454F0"/>
    <w:rsid w:val="00264CED"/>
    <w:rsid w:val="002E5E74"/>
    <w:rsid w:val="00362934"/>
    <w:rsid w:val="003C381C"/>
    <w:rsid w:val="003D4594"/>
    <w:rsid w:val="003E73C5"/>
    <w:rsid w:val="00442855"/>
    <w:rsid w:val="00486FE1"/>
    <w:rsid w:val="004F33D8"/>
    <w:rsid w:val="004F46B7"/>
    <w:rsid w:val="00585113"/>
    <w:rsid w:val="00585BB9"/>
    <w:rsid w:val="005D113D"/>
    <w:rsid w:val="005D24BF"/>
    <w:rsid w:val="006561A8"/>
    <w:rsid w:val="0068627A"/>
    <w:rsid w:val="00747469"/>
    <w:rsid w:val="00776FBB"/>
    <w:rsid w:val="007D7B14"/>
    <w:rsid w:val="008658E1"/>
    <w:rsid w:val="008E7B44"/>
    <w:rsid w:val="009554F3"/>
    <w:rsid w:val="009E72D1"/>
    <w:rsid w:val="009F7DAB"/>
    <w:rsid w:val="00A177D3"/>
    <w:rsid w:val="00A929CC"/>
    <w:rsid w:val="00AF420D"/>
    <w:rsid w:val="00C126AB"/>
    <w:rsid w:val="00D51344"/>
    <w:rsid w:val="00DA3601"/>
    <w:rsid w:val="00E23527"/>
    <w:rsid w:val="00E80185"/>
    <w:rsid w:val="00EE3700"/>
    <w:rsid w:val="00EE6652"/>
    <w:rsid w:val="00F01008"/>
    <w:rsid w:val="00FB67B2"/>
    <w:rsid w:val="00FF231F"/>
    <w:rsid w:val="011652A7"/>
    <w:rsid w:val="012C7CA3"/>
    <w:rsid w:val="01655E65"/>
    <w:rsid w:val="01742C5A"/>
    <w:rsid w:val="01DD3370"/>
    <w:rsid w:val="025E6D8A"/>
    <w:rsid w:val="027010CF"/>
    <w:rsid w:val="02797CEA"/>
    <w:rsid w:val="02C070DD"/>
    <w:rsid w:val="02D4186F"/>
    <w:rsid w:val="02F33AB3"/>
    <w:rsid w:val="030663D5"/>
    <w:rsid w:val="03102336"/>
    <w:rsid w:val="03120BFD"/>
    <w:rsid w:val="03291143"/>
    <w:rsid w:val="03577696"/>
    <w:rsid w:val="03596817"/>
    <w:rsid w:val="035A7361"/>
    <w:rsid w:val="039F6E24"/>
    <w:rsid w:val="03D96124"/>
    <w:rsid w:val="04647A9C"/>
    <w:rsid w:val="05DC7BE8"/>
    <w:rsid w:val="065515FC"/>
    <w:rsid w:val="067032E2"/>
    <w:rsid w:val="067456D5"/>
    <w:rsid w:val="069E67C4"/>
    <w:rsid w:val="069F1267"/>
    <w:rsid w:val="06B93462"/>
    <w:rsid w:val="06CC2A6C"/>
    <w:rsid w:val="073C0426"/>
    <w:rsid w:val="074D32A2"/>
    <w:rsid w:val="07817D57"/>
    <w:rsid w:val="0796352D"/>
    <w:rsid w:val="07DF5F54"/>
    <w:rsid w:val="07E675A2"/>
    <w:rsid w:val="08DE1338"/>
    <w:rsid w:val="09526A73"/>
    <w:rsid w:val="09747227"/>
    <w:rsid w:val="09A03047"/>
    <w:rsid w:val="0A03446D"/>
    <w:rsid w:val="0A094C48"/>
    <w:rsid w:val="0A1D0078"/>
    <w:rsid w:val="0A8C735F"/>
    <w:rsid w:val="0AA512FE"/>
    <w:rsid w:val="0AB86A9F"/>
    <w:rsid w:val="0ADE3C8E"/>
    <w:rsid w:val="0AEC3843"/>
    <w:rsid w:val="0B126A98"/>
    <w:rsid w:val="0B700B2E"/>
    <w:rsid w:val="0B7E7FB0"/>
    <w:rsid w:val="0B8604FC"/>
    <w:rsid w:val="0BD62E0D"/>
    <w:rsid w:val="0BE01193"/>
    <w:rsid w:val="0C0E2928"/>
    <w:rsid w:val="0C4549A2"/>
    <w:rsid w:val="0C5362FC"/>
    <w:rsid w:val="0C5423CE"/>
    <w:rsid w:val="0C6A1A84"/>
    <w:rsid w:val="0C6D149A"/>
    <w:rsid w:val="0C7162AA"/>
    <w:rsid w:val="0CAC2B8E"/>
    <w:rsid w:val="0CB12CBD"/>
    <w:rsid w:val="0CC14B1D"/>
    <w:rsid w:val="0CC97DCC"/>
    <w:rsid w:val="0D81567A"/>
    <w:rsid w:val="0D8A4A34"/>
    <w:rsid w:val="0DA97A8B"/>
    <w:rsid w:val="0DE2779D"/>
    <w:rsid w:val="0E5F69B7"/>
    <w:rsid w:val="0EB77DF8"/>
    <w:rsid w:val="0ECB7930"/>
    <w:rsid w:val="0EF0181E"/>
    <w:rsid w:val="0F121E9A"/>
    <w:rsid w:val="0F222679"/>
    <w:rsid w:val="0F2A7E63"/>
    <w:rsid w:val="0F2E5463"/>
    <w:rsid w:val="0F5A00A5"/>
    <w:rsid w:val="0F5C7EE2"/>
    <w:rsid w:val="0F695469"/>
    <w:rsid w:val="0F773395"/>
    <w:rsid w:val="0FA15AAB"/>
    <w:rsid w:val="0FA4001C"/>
    <w:rsid w:val="0FD11D1A"/>
    <w:rsid w:val="0FD452F1"/>
    <w:rsid w:val="0FDA7987"/>
    <w:rsid w:val="0FF55595"/>
    <w:rsid w:val="10492086"/>
    <w:rsid w:val="106D690A"/>
    <w:rsid w:val="10FC5EE7"/>
    <w:rsid w:val="11000F77"/>
    <w:rsid w:val="1131086D"/>
    <w:rsid w:val="115D054A"/>
    <w:rsid w:val="11B34A4B"/>
    <w:rsid w:val="11BB2107"/>
    <w:rsid w:val="11CE4867"/>
    <w:rsid w:val="11DF1DC1"/>
    <w:rsid w:val="12253471"/>
    <w:rsid w:val="12493791"/>
    <w:rsid w:val="12C72DF6"/>
    <w:rsid w:val="12C92410"/>
    <w:rsid w:val="12D87CA6"/>
    <w:rsid w:val="1378723A"/>
    <w:rsid w:val="13825BDA"/>
    <w:rsid w:val="13A0265B"/>
    <w:rsid w:val="13DD365D"/>
    <w:rsid w:val="13E10ADD"/>
    <w:rsid w:val="14364865"/>
    <w:rsid w:val="147D5E23"/>
    <w:rsid w:val="14D233B9"/>
    <w:rsid w:val="15050578"/>
    <w:rsid w:val="150B407F"/>
    <w:rsid w:val="156D6C3E"/>
    <w:rsid w:val="157060ED"/>
    <w:rsid w:val="157776D4"/>
    <w:rsid w:val="158322CD"/>
    <w:rsid w:val="159827AE"/>
    <w:rsid w:val="15F72858"/>
    <w:rsid w:val="163D56D6"/>
    <w:rsid w:val="1645595F"/>
    <w:rsid w:val="16B52749"/>
    <w:rsid w:val="16C47452"/>
    <w:rsid w:val="16CF434D"/>
    <w:rsid w:val="16FA1C2A"/>
    <w:rsid w:val="170B7AF4"/>
    <w:rsid w:val="171C2759"/>
    <w:rsid w:val="172C55DC"/>
    <w:rsid w:val="178B1B7E"/>
    <w:rsid w:val="17C467EE"/>
    <w:rsid w:val="17F90975"/>
    <w:rsid w:val="18C0099F"/>
    <w:rsid w:val="18CE20EA"/>
    <w:rsid w:val="18EC4308"/>
    <w:rsid w:val="18F30056"/>
    <w:rsid w:val="192A18B2"/>
    <w:rsid w:val="1999204F"/>
    <w:rsid w:val="19A563F1"/>
    <w:rsid w:val="19F46A6C"/>
    <w:rsid w:val="1A002777"/>
    <w:rsid w:val="1A135B7E"/>
    <w:rsid w:val="1A495ECC"/>
    <w:rsid w:val="1A543660"/>
    <w:rsid w:val="1A603A1D"/>
    <w:rsid w:val="1AC7680D"/>
    <w:rsid w:val="1AD552E1"/>
    <w:rsid w:val="1ADA6ADF"/>
    <w:rsid w:val="1AE558B5"/>
    <w:rsid w:val="1B0A1004"/>
    <w:rsid w:val="1B1048CA"/>
    <w:rsid w:val="1B1E1C26"/>
    <w:rsid w:val="1B1F2752"/>
    <w:rsid w:val="1B2D5836"/>
    <w:rsid w:val="1B411E5B"/>
    <w:rsid w:val="1B7D0D52"/>
    <w:rsid w:val="1BA5293E"/>
    <w:rsid w:val="1BAB039A"/>
    <w:rsid w:val="1C066620"/>
    <w:rsid w:val="1C175BDE"/>
    <w:rsid w:val="1C4C2BF9"/>
    <w:rsid w:val="1CDC3786"/>
    <w:rsid w:val="1D2F126D"/>
    <w:rsid w:val="1D4C6280"/>
    <w:rsid w:val="1DE3247F"/>
    <w:rsid w:val="1E265E19"/>
    <w:rsid w:val="1E5F6B63"/>
    <w:rsid w:val="1E782EF4"/>
    <w:rsid w:val="1EDD48B6"/>
    <w:rsid w:val="1EF5188D"/>
    <w:rsid w:val="1F171F9F"/>
    <w:rsid w:val="1F5955D5"/>
    <w:rsid w:val="1FEF6843"/>
    <w:rsid w:val="1FF80415"/>
    <w:rsid w:val="2002428B"/>
    <w:rsid w:val="203C7E42"/>
    <w:rsid w:val="208B2251"/>
    <w:rsid w:val="20AE56A0"/>
    <w:rsid w:val="20C020CF"/>
    <w:rsid w:val="210E21E1"/>
    <w:rsid w:val="21267361"/>
    <w:rsid w:val="2128032F"/>
    <w:rsid w:val="2169514D"/>
    <w:rsid w:val="21784D66"/>
    <w:rsid w:val="21976D4B"/>
    <w:rsid w:val="219953B6"/>
    <w:rsid w:val="21D64C56"/>
    <w:rsid w:val="21EA1E72"/>
    <w:rsid w:val="221C0C2B"/>
    <w:rsid w:val="227A6CBC"/>
    <w:rsid w:val="22B85D57"/>
    <w:rsid w:val="22EC1D29"/>
    <w:rsid w:val="22EF1F72"/>
    <w:rsid w:val="2329209C"/>
    <w:rsid w:val="23654CAB"/>
    <w:rsid w:val="236F501F"/>
    <w:rsid w:val="2378124C"/>
    <w:rsid w:val="238D3165"/>
    <w:rsid w:val="23A002A7"/>
    <w:rsid w:val="23AC508E"/>
    <w:rsid w:val="24635AF3"/>
    <w:rsid w:val="24E9406D"/>
    <w:rsid w:val="24E958E4"/>
    <w:rsid w:val="24F23168"/>
    <w:rsid w:val="2525119A"/>
    <w:rsid w:val="25710421"/>
    <w:rsid w:val="25E2408E"/>
    <w:rsid w:val="25F95B39"/>
    <w:rsid w:val="262C7EBA"/>
    <w:rsid w:val="264F33B1"/>
    <w:rsid w:val="26A43B88"/>
    <w:rsid w:val="26BD3B28"/>
    <w:rsid w:val="26BD6885"/>
    <w:rsid w:val="26E41E83"/>
    <w:rsid w:val="26FE3A14"/>
    <w:rsid w:val="270216D3"/>
    <w:rsid w:val="27216CC7"/>
    <w:rsid w:val="27370FBB"/>
    <w:rsid w:val="2782612C"/>
    <w:rsid w:val="2844589B"/>
    <w:rsid w:val="284E4648"/>
    <w:rsid w:val="28EC7760"/>
    <w:rsid w:val="29013BA7"/>
    <w:rsid w:val="290B5B27"/>
    <w:rsid w:val="295F3367"/>
    <w:rsid w:val="29667B87"/>
    <w:rsid w:val="29736712"/>
    <w:rsid w:val="298916C3"/>
    <w:rsid w:val="29913C4C"/>
    <w:rsid w:val="29CE1E98"/>
    <w:rsid w:val="29E0273D"/>
    <w:rsid w:val="29F73FF4"/>
    <w:rsid w:val="2A392A45"/>
    <w:rsid w:val="2A47521B"/>
    <w:rsid w:val="2AB54ED9"/>
    <w:rsid w:val="2AE81499"/>
    <w:rsid w:val="2B084713"/>
    <w:rsid w:val="2B4569E1"/>
    <w:rsid w:val="2B692C00"/>
    <w:rsid w:val="2B717383"/>
    <w:rsid w:val="2B7439D4"/>
    <w:rsid w:val="2B7B0466"/>
    <w:rsid w:val="2B9F5C2F"/>
    <w:rsid w:val="2BEE03DB"/>
    <w:rsid w:val="2BEF588C"/>
    <w:rsid w:val="2BF4324E"/>
    <w:rsid w:val="2C253B17"/>
    <w:rsid w:val="2C3B2618"/>
    <w:rsid w:val="2C47056E"/>
    <w:rsid w:val="2C563D94"/>
    <w:rsid w:val="2C970BD3"/>
    <w:rsid w:val="2C974B81"/>
    <w:rsid w:val="2CDD314E"/>
    <w:rsid w:val="2CFE4DE2"/>
    <w:rsid w:val="2D5852F5"/>
    <w:rsid w:val="2D761770"/>
    <w:rsid w:val="2DD54AF9"/>
    <w:rsid w:val="2DF40366"/>
    <w:rsid w:val="2DF45CF7"/>
    <w:rsid w:val="2DFC3ABB"/>
    <w:rsid w:val="2E270BDD"/>
    <w:rsid w:val="2E75142A"/>
    <w:rsid w:val="2E921956"/>
    <w:rsid w:val="2EB20570"/>
    <w:rsid w:val="2F1E661F"/>
    <w:rsid w:val="2F3D0CD8"/>
    <w:rsid w:val="2F8E3656"/>
    <w:rsid w:val="2FB37740"/>
    <w:rsid w:val="2FBE3AA9"/>
    <w:rsid w:val="30345E87"/>
    <w:rsid w:val="30604928"/>
    <w:rsid w:val="306824EA"/>
    <w:rsid w:val="307C4EE9"/>
    <w:rsid w:val="30A37CBD"/>
    <w:rsid w:val="30B56793"/>
    <w:rsid w:val="30B669EB"/>
    <w:rsid w:val="30D502A5"/>
    <w:rsid w:val="31200021"/>
    <w:rsid w:val="312B0F8B"/>
    <w:rsid w:val="31427344"/>
    <w:rsid w:val="314275D6"/>
    <w:rsid w:val="3153415E"/>
    <w:rsid w:val="319C28C0"/>
    <w:rsid w:val="31AD7931"/>
    <w:rsid w:val="31B62FA5"/>
    <w:rsid w:val="31E25CC2"/>
    <w:rsid w:val="31F50921"/>
    <w:rsid w:val="320140B3"/>
    <w:rsid w:val="32114069"/>
    <w:rsid w:val="32333C39"/>
    <w:rsid w:val="323706D9"/>
    <w:rsid w:val="324831BD"/>
    <w:rsid w:val="32550DF6"/>
    <w:rsid w:val="32720841"/>
    <w:rsid w:val="3347192A"/>
    <w:rsid w:val="33687B02"/>
    <w:rsid w:val="33870D7C"/>
    <w:rsid w:val="339420FA"/>
    <w:rsid w:val="339A7C4D"/>
    <w:rsid w:val="339E587A"/>
    <w:rsid w:val="33E43EEE"/>
    <w:rsid w:val="342B0756"/>
    <w:rsid w:val="34382C92"/>
    <w:rsid w:val="347E45B5"/>
    <w:rsid w:val="34B54485"/>
    <w:rsid w:val="35105FDE"/>
    <w:rsid w:val="352F7AF7"/>
    <w:rsid w:val="354563A0"/>
    <w:rsid w:val="354D18FD"/>
    <w:rsid w:val="35DD1DD5"/>
    <w:rsid w:val="3618015C"/>
    <w:rsid w:val="367A292F"/>
    <w:rsid w:val="36941F3E"/>
    <w:rsid w:val="36C57783"/>
    <w:rsid w:val="36CF1EFC"/>
    <w:rsid w:val="3755796D"/>
    <w:rsid w:val="375D3A4A"/>
    <w:rsid w:val="378A7400"/>
    <w:rsid w:val="37994CCF"/>
    <w:rsid w:val="37E537B7"/>
    <w:rsid w:val="37FC779F"/>
    <w:rsid w:val="388F3841"/>
    <w:rsid w:val="38D126B9"/>
    <w:rsid w:val="38DD633E"/>
    <w:rsid w:val="39BE74DA"/>
    <w:rsid w:val="39C3141B"/>
    <w:rsid w:val="39CD1E2B"/>
    <w:rsid w:val="39EC0421"/>
    <w:rsid w:val="3A4B0BA1"/>
    <w:rsid w:val="3A5849BA"/>
    <w:rsid w:val="3A656B7A"/>
    <w:rsid w:val="3A837D28"/>
    <w:rsid w:val="3AA2425B"/>
    <w:rsid w:val="3AA63816"/>
    <w:rsid w:val="3B356540"/>
    <w:rsid w:val="3B3D0805"/>
    <w:rsid w:val="3B556027"/>
    <w:rsid w:val="3B58263B"/>
    <w:rsid w:val="3B7A02C8"/>
    <w:rsid w:val="3BBA0661"/>
    <w:rsid w:val="3BBC1573"/>
    <w:rsid w:val="3C231236"/>
    <w:rsid w:val="3C2F758A"/>
    <w:rsid w:val="3C87488E"/>
    <w:rsid w:val="3C9A4E25"/>
    <w:rsid w:val="3CBB6994"/>
    <w:rsid w:val="3CD139A5"/>
    <w:rsid w:val="3D3E571B"/>
    <w:rsid w:val="3D60764D"/>
    <w:rsid w:val="3DC020F5"/>
    <w:rsid w:val="3E146525"/>
    <w:rsid w:val="3E400B54"/>
    <w:rsid w:val="3E703767"/>
    <w:rsid w:val="3F5A7E4B"/>
    <w:rsid w:val="3F82468F"/>
    <w:rsid w:val="3FD923E4"/>
    <w:rsid w:val="40046497"/>
    <w:rsid w:val="40176B9D"/>
    <w:rsid w:val="403C0299"/>
    <w:rsid w:val="404E191D"/>
    <w:rsid w:val="40845AB8"/>
    <w:rsid w:val="40AE6964"/>
    <w:rsid w:val="40EF0548"/>
    <w:rsid w:val="410F0A26"/>
    <w:rsid w:val="41195F47"/>
    <w:rsid w:val="411E5813"/>
    <w:rsid w:val="41524A0F"/>
    <w:rsid w:val="4210250D"/>
    <w:rsid w:val="426E2E40"/>
    <w:rsid w:val="428D57F5"/>
    <w:rsid w:val="42E61760"/>
    <w:rsid w:val="43772E98"/>
    <w:rsid w:val="43791EA8"/>
    <w:rsid w:val="43D6118D"/>
    <w:rsid w:val="43D71A1C"/>
    <w:rsid w:val="43DE5B13"/>
    <w:rsid w:val="4425457C"/>
    <w:rsid w:val="443475E6"/>
    <w:rsid w:val="44562E10"/>
    <w:rsid w:val="44654F7F"/>
    <w:rsid w:val="44782FC7"/>
    <w:rsid w:val="448D3E26"/>
    <w:rsid w:val="448E5850"/>
    <w:rsid w:val="44AE471D"/>
    <w:rsid w:val="44F52997"/>
    <w:rsid w:val="45044998"/>
    <w:rsid w:val="451D573B"/>
    <w:rsid w:val="451E2A8B"/>
    <w:rsid w:val="452F3005"/>
    <w:rsid w:val="453C4B69"/>
    <w:rsid w:val="457A2FE8"/>
    <w:rsid w:val="45865DA2"/>
    <w:rsid w:val="45BE2A78"/>
    <w:rsid w:val="46383DFE"/>
    <w:rsid w:val="465651E2"/>
    <w:rsid w:val="46A918BC"/>
    <w:rsid w:val="46BF54CC"/>
    <w:rsid w:val="46C722D2"/>
    <w:rsid w:val="46F10E54"/>
    <w:rsid w:val="47B44268"/>
    <w:rsid w:val="47DF5F7E"/>
    <w:rsid w:val="48106BB0"/>
    <w:rsid w:val="48492DE2"/>
    <w:rsid w:val="48E94922"/>
    <w:rsid w:val="49042A40"/>
    <w:rsid w:val="49B77FE7"/>
    <w:rsid w:val="49C34687"/>
    <w:rsid w:val="49E95EBC"/>
    <w:rsid w:val="4A18175E"/>
    <w:rsid w:val="4A451025"/>
    <w:rsid w:val="4B424B3C"/>
    <w:rsid w:val="4B463708"/>
    <w:rsid w:val="4B49107C"/>
    <w:rsid w:val="4BAB2719"/>
    <w:rsid w:val="4BC12737"/>
    <w:rsid w:val="4BF02A2A"/>
    <w:rsid w:val="4C1A7468"/>
    <w:rsid w:val="4C2B3079"/>
    <w:rsid w:val="4C2E07C9"/>
    <w:rsid w:val="4C5220DB"/>
    <w:rsid w:val="4C733975"/>
    <w:rsid w:val="4CCF22AA"/>
    <w:rsid w:val="4CDC3CCE"/>
    <w:rsid w:val="4CEC5788"/>
    <w:rsid w:val="4D104240"/>
    <w:rsid w:val="4D6E0D80"/>
    <w:rsid w:val="4D7B30AB"/>
    <w:rsid w:val="4E092356"/>
    <w:rsid w:val="4E132AF7"/>
    <w:rsid w:val="4E6A09FD"/>
    <w:rsid w:val="4E7F6AEB"/>
    <w:rsid w:val="4E980BEE"/>
    <w:rsid w:val="4EBD2AB4"/>
    <w:rsid w:val="4F261B1A"/>
    <w:rsid w:val="4F3420F9"/>
    <w:rsid w:val="4F722CA7"/>
    <w:rsid w:val="4F7919CC"/>
    <w:rsid w:val="4FFD7B5A"/>
    <w:rsid w:val="50044EEF"/>
    <w:rsid w:val="50270F0E"/>
    <w:rsid w:val="508A06D5"/>
    <w:rsid w:val="50A7089F"/>
    <w:rsid w:val="50B8797E"/>
    <w:rsid w:val="50D70E19"/>
    <w:rsid w:val="51074566"/>
    <w:rsid w:val="515569EF"/>
    <w:rsid w:val="51783FE7"/>
    <w:rsid w:val="519B2DEA"/>
    <w:rsid w:val="51EC1627"/>
    <w:rsid w:val="51F75886"/>
    <w:rsid w:val="520A43E1"/>
    <w:rsid w:val="52271ABC"/>
    <w:rsid w:val="527E30D4"/>
    <w:rsid w:val="528F0FC6"/>
    <w:rsid w:val="52D556B4"/>
    <w:rsid w:val="53005504"/>
    <w:rsid w:val="533D63CA"/>
    <w:rsid w:val="53593259"/>
    <w:rsid w:val="53620E89"/>
    <w:rsid w:val="536B36DE"/>
    <w:rsid w:val="53C14562"/>
    <w:rsid w:val="53D216FE"/>
    <w:rsid w:val="53EF6765"/>
    <w:rsid w:val="544272F1"/>
    <w:rsid w:val="54AA4D72"/>
    <w:rsid w:val="54F671C2"/>
    <w:rsid w:val="55251ADA"/>
    <w:rsid w:val="55252E90"/>
    <w:rsid w:val="555C76A4"/>
    <w:rsid w:val="558731C9"/>
    <w:rsid w:val="55BF0AC8"/>
    <w:rsid w:val="55BF51AA"/>
    <w:rsid w:val="55D2115C"/>
    <w:rsid w:val="55E178AE"/>
    <w:rsid w:val="56932A24"/>
    <w:rsid w:val="56E15E6C"/>
    <w:rsid w:val="57121B3F"/>
    <w:rsid w:val="573866D8"/>
    <w:rsid w:val="578B3251"/>
    <w:rsid w:val="5793347D"/>
    <w:rsid w:val="57A131AC"/>
    <w:rsid w:val="57AC498A"/>
    <w:rsid w:val="57F366A3"/>
    <w:rsid w:val="5811013B"/>
    <w:rsid w:val="58550A9A"/>
    <w:rsid w:val="58631CB2"/>
    <w:rsid w:val="587F16B2"/>
    <w:rsid w:val="588906E8"/>
    <w:rsid w:val="589F2EE9"/>
    <w:rsid w:val="590137D5"/>
    <w:rsid w:val="59A5489C"/>
    <w:rsid w:val="59E62CA7"/>
    <w:rsid w:val="5A1B75B2"/>
    <w:rsid w:val="5A204CB8"/>
    <w:rsid w:val="5ABC3962"/>
    <w:rsid w:val="5ABD27D8"/>
    <w:rsid w:val="5ADD6585"/>
    <w:rsid w:val="5AF215F5"/>
    <w:rsid w:val="5B034B77"/>
    <w:rsid w:val="5B3B195E"/>
    <w:rsid w:val="5B666F30"/>
    <w:rsid w:val="5B7E462B"/>
    <w:rsid w:val="5B91672A"/>
    <w:rsid w:val="5BA47FE2"/>
    <w:rsid w:val="5C05334A"/>
    <w:rsid w:val="5C3445E7"/>
    <w:rsid w:val="5C55719B"/>
    <w:rsid w:val="5C6D3640"/>
    <w:rsid w:val="5C96568D"/>
    <w:rsid w:val="5CB721B8"/>
    <w:rsid w:val="5CDC3D81"/>
    <w:rsid w:val="5CE50BA1"/>
    <w:rsid w:val="5CF80462"/>
    <w:rsid w:val="5D2B582C"/>
    <w:rsid w:val="5D2D04EE"/>
    <w:rsid w:val="5DE3333F"/>
    <w:rsid w:val="5DF2478C"/>
    <w:rsid w:val="5E111E34"/>
    <w:rsid w:val="5E2F1FA3"/>
    <w:rsid w:val="5E362EE4"/>
    <w:rsid w:val="5E6565BF"/>
    <w:rsid w:val="5E7F6931"/>
    <w:rsid w:val="5E933486"/>
    <w:rsid w:val="5EA51BA9"/>
    <w:rsid w:val="5EAF694F"/>
    <w:rsid w:val="5EB60C75"/>
    <w:rsid w:val="5EC75766"/>
    <w:rsid w:val="5ED07461"/>
    <w:rsid w:val="5F97024C"/>
    <w:rsid w:val="5F9C4D2A"/>
    <w:rsid w:val="5FAE0B36"/>
    <w:rsid w:val="5FC844FA"/>
    <w:rsid w:val="5FE44769"/>
    <w:rsid w:val="5FEC6A5D"/>
    <w:rsid w:val="60590A47"/>
    <w:rsid w:val="606F385C"/>
    <w:rsid w:val="60A0212C"/>
    <w:rsid w:val="60B51CA3"/>
    <w:rsid w:val="60C60663"/>
    <w:rsid w:val="60F810E1"/>
    <w:rsid w:val="60FF624C"/>
    <w:rsid w:val="6120727C"/>
    <w:rsid w:val="613F6CAD"/>
    <w:rsid w:val="6142753C"/>
    <w:rsid w:val="614C3169"/>
    <w:rsid w:val="616A3C56"/>
    <w:rsid w:val="61A67BB7"/>
    <w:rsid w:val="620F2CD9"/>
    <w:rsid w:val="62405AB5"/>
    <w:rsid w:val="62493E84"/>
    <w:rsid w:val="627C0B9E"/>
    <w:rsid w:val="62BC5017"/>
    <w:rsid w:val="62EB0D14"/>
    <w:rsid w:val="62FC60A0"/>
    <w:rsid w:val="631E7510"/>
    <w:rsid w:val="633C4A1B"/>
    <w:rsid w:val="63766CD3"/>
    <w:rsid w:val="637C0DE1"/>
    <w:rsid w:val="63C05DA6"/>
    <w:rsid w:val="63DA30A8"/>
    <w:rsid w:val="645B75EA"/>
    <w:rsid w:val="647F4939"/>
    <w:rsid w:val="64BE6C27"/>
    <w:rsid w:val="64D6079B"/>
    <w:rsid w:val="64F85199"/>
    <w:rsid w:val="651E0076"/>
    <w:rsid w:val="656A1229"/>
    <w:rsid w:val="657D2A06"/>
    <w:rsid w:val="65C61CA3"/>
    <w:rsid w:val="66017DB0"/>
    <w:rsid w:val="665E6415"/>
    <w:rsid w:val="66975A32"/>
    <w:rsid w:val="66B44ACC"/>
    <w:rsid w:val="66DC6BCF"/>
    <w:rsid w:val="66E3640C"/>
    <w:rsid w:val="67220E53"/>
    <w:rsid w:val="67730AD1"/>
    <w:rsid w:val="67737B4D"/>
    <w:rsid w:val="67AF56E9"/>
    <w:rsid w:val="67D86185"/>
    <w:rsid w:val="67E015AF"/>
    <w:rsid w:val="68493405"/>
    <w:rsid w:val="68C948B0"/>
    <w:rsid w:val="68C9498E"/>
    <w:rsid w:val="68DB35CF"/>
    <w:rsid w:val="68DC3034"/>
    <w:rsid w:val="69623B44"/>
    <w:rsid w:val="69E30DA0"/>
    <w:rsid w:val="6A782609"/>
    <w:rsid w:val="6AFE1987"/>
    <w:rsid w:val="6B167931"/>
    <w:rsid w:val="6B8E2D0B"/>
    <w:rsid w:val="6BBB74A8"/>
    <w:rsid w:val="6BD46FAB"/>
    <w:rsid w:val="6BD9652D"/>
    <w:rsid w:val="6C367670"/>
    <w:rsid w:val="6CDD7D21"/>
    <w:rsid w:val="6CF9696E"/>
    <w:rsid w:val="6D432CC9"/>
    <w:rsid w:val="6D965AD0"/>
    <w:rsid w:val="6D970BC4"/>
    <w:rsid w:val="6D9B0103"/>
    <w:rsid w:val="6DA74DCE"/>
    <w:rsid w:val="6DB17F19"/>
    <w:rsid w:val="6DC94F57"/>
    <w:rsid w:val="6E154530"/>
    <w:rsid w:val="6E2B66CA"/>
    <w:rsid w:val="6E2F2340"/>
    <w:rsid w:val="6E44482A"/>
    <w:rsid w:val="6E461D5E"/>
    <w:rsid w:val="6F1546FD"/>
    <w:rsid w:val="6F194ABF"/>
    <w:rsid w:val="6F2329D7"/>
    <w:rsid w:val="6F4F2727"/>
    <w:rsid w:val="6F762AD2"/>
    <w:rsid w:val="6FB43F96"/>
    <w:rsid w:val="6FD44326"/>
    <w:rsid w:val="6FD95AC1"/>
    <w:rsid w:val="7006213A"/>
    <w:rsid w:val="7010686D"/>
    <w:rsid w:val="702A02BC"/>
    <w:rsid w:val="702B4EBC"/>
    <w:rsid w:val="70C56BE6"/>
    <w:rsid w:val="70D878B1"/>
    <w:rsid w:val="70F41832"/>
    <w:rsid w:val="712C0B61"/>
    <w:rsid w:val="71321D1D"/>
    <w:rsid w:val="714F52AF"/>
    <w:rsid w:val="71801D10"/>
    <w:rsid w:val="719732A0"/>
    <w:rsid w:val="7272383A"/>
    <w:rsid w:val="72851A18"/>
    <w:rsid w:val="72B1750D"/>
    <w:rsid w:val="72C24CCD"/>
    <w:rsid w:val="73444FE0"/>
    <w:rsid w:val="738C6FEE"/>
    <w:rsid w:val="739330FE"/>
    <w:rsid w:val="73A557C4"/>
    <w:rsid w:val="73EC5A48"/>
    <w:rsid w:val="74344D5D"/>
    <w:rsid w:val="74385226"/>
    <w:rsid w:val="746F52C0"/>
    <w:rsid w:val="74E6225D"/>
    <w:rsid w:val="75502329"/>
    <w:rsid w:val="75AD26D7"/>
    <w:rsid w:val="76167A25"/>
    <w:rsid w:val="763F5709"/>
    <w:rsid w:val="764655C8"/>
    <w:rsid w:val="765451CC"/>
    <w:rsid w:val="771B7FBE"/>
    <w:rsid w:val="77506C03"/>
    <w:rsid w:val="779D31C7"/>
    <w:rsid w:val="77D37902"/>
    <w:rsid w:val="78467054"/>
    <w:rsid w:val="787021EF"/>
    <w:rsid w:val="78996560"/>
    <w:rsid w:val="78B76D6E"/>
    <w:rsid w:val="7916549F"/>
    <w:rsid w:val="79254032"/>
    <w:rsid w:val="79323209"/>
    <w:rsid w:val="79501156"/>
    <w:rsid w:val="7971543F"/>
    <w:rsid w:val="798132A4"/>
    <w:rsid w:val="79A70EA9"/>
    <w:rsid w:val="79C95702"/>
    <w:rsid w:val="7A100E81"/>
    <w:rsid w:val="7A3344DC"/>
    <w:rsid w:val="7A6E4C06"/>
    <w:rsid w:val="7A8F1B77"/>
    <w:rsid w:val="7AAA07FD"/>
    <w:rsid w:val="7AB56AD1"/>
    <w:rsid w:val="7AE3421B"/>
    <w:rsid w:val="7B2F3A99"/>
    <w:rsid w:val="7C196DF1"/>
    <w:rsid w:val="7C9A2E9E"/>
    <w:rsid w:val="7CA705F3"/>
    <w:rsid w:val="7CB91433"/>
    <w:rsid w:val="7CD1610C"/>
    <w:rsid w:val="7CDC13FD"/>
    <w:rsid w:val="7D121866"/>
    <w:rsid w:val="7DBC582C"/>
    <w:rsid w:val="7E147137"/>
    <w:rsid w:val="7E1476B7"/>
    <w:rsid w:val="7EAD16F5"/>
    <w:rsid w:val="7EB94789"/>
    <w:rsid w:val="7ED92098"/>
    <w:rsid w:val="7EDE71FD"/>
    <w:rsid w:val="7F0E6830"/>
    <w:rsid w:val="7F2039FF"/>
    <w:rsid w:val="7F337008"/>
    <w:rsid w:val="7F406B9A"/>
    <w:rsid w:val="7F551290"/>
    <w:rsid w:val="7F8B6253"/>
    <w:rsid w:val="7FBC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iPriority="39" w:semiHidden="0" w:name="toc 3"/>
    <w:lsdException w:qFormat="1" w:uiPriority="39" w:semiHidden="0" w:name="toc 4"/>
    <w:lsdException w:uiPriority="39" w:semiHidden="0" w:name="toc 5"/>
    <w:lsdException w:qFormat="1" w:uiPriority="39" w:semiHidden="0" w:name="toc 6"/>
    <w:lsdException w:uiPriority="39" w:semiHidden="0" w:name="toc 7"/>
    <w:lsdException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uiPriority w:val="39"/>
    <w:pPr>
      <w:ind w:left="2520" w:leftChars="1200"/>
    </w:pPr>
    <w:rPr>
      <w:szCs w:val="22"/>
      <w14:ligatures w14:val="standardContextual"/>
    </w:rPr>
  </w:style>
  <w:style w:type="paragraph" w:styleId="6">
    <w:name w:val="toc 5"/>
    <w:basedOn w:val="1"/>
    <w:next w:val="1"/>
    <w:unhideWhenUsed/>
    <w:uiPriority w:val="39"/>
    <w:pPr>
      <w:ind w:left="1680" w:leftChars="800"/>
    </w:pPr>
    <w:rPr>
      <w:szCs w:val="22"/>
      <w14:ligatures w14:val="standardContextual"/>
    </w:rPr>
  </w:style>
  <w:style w:type="paragraph" w:styleId="7">
    <w:name w:val="toc 3"/>
    <w:basedOn w:val="1"/>
    <w:next w:val="1"/>
    <w:unhideWhenUsed/>
    <w:uiPriority w:val="39"/>
    <w:pPr>
      <w:ind w:left="840" w:leftChars="400"/>
    </w:pPr>
    <w:rPr>
      <w:szCs w:val="22"/>
      <w14:ligatures w14:val="standardContextual"/>
    </w:rPr>
  </w:style>
  <w:style w:type="paragraph" w:styleId="8">
    <w:name w:val="toc 8"/>
    <w:basedOn w:val="1"/>
    <w:next w:val="1"/>
    <w:unhideWhenUsed/>
    <w:uiPriority w:val="39"/>
    <w:pPr>
      <w:ind w:left="2940" w:leftChars="1400"/>
    </w:pPr>
    <w:rPr>
      <w:szCs w:val="22"/>
      <w14:ligatures w14:val="standardContextual"/>
    </w:rPr>
  </w:style>
  <w:style w:type="paragraph" w:styleId="9">
    <w:name w:val="footer"/>
    <w:basedOn w:val="1"/>
    <w:link w:val="29"/>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4"/>
    <w:basedOn w:val="1"/>
    <w:next w:val="1"/>
    <w:unhideWhenUsed/>
    <w:qFormat/>
    <w:uiPriority w:val="39"/>
    <w:pPr>
      <w:ind w:left="1260" w:leftChars="600"/>
    </w:pPr>
    <w:rPr>
      <w:szCs w:val="22"/>
      <w14:ligatures w14:val="standardContextual"/>
    </w:rPr>
  </w:style>
  <w:style w:type="paragraph" w:styleId="13">
    <w:name w:val="toc 6"/>
    <w:basedOn w:val="1"/>
    <w:next w:val="1"/>
    <w:unhideWhenUsed/>
    <w:qFormat/>
    <w:uiPriority w:val="39"/>
    <w:pPr>
      <w:ind w:left="2100" w:leftChars="1000"/>
    </w:pPr>
    <w:rPr>
      <w:szCs w:val="22"/>
      <w14:ligatures w14:val="standardContextual"/>
    </w:rPr>
  </w:style>
  <w:style w:type="paragraph" w:styleId="14">
    <w:name w:val="toc 2"/>
    <w:basedOn w:val="1"/>
    <w:next w:val="1"/>
    <w:qFormat/>
    <w:uiPriority w:val="39"/>
    <w:pPr>
      <w:ind w:left="420" w:leftChars="200"/>
    </w:pPr>
  </w:style>
  <w:style w:type="paragraph" w:styleId="15">
    <w:name w:val="toc 9"/>
    <w:basedOn w:val="1"/>
    <w:next w:val="1"/>
    <w:unhideWhenUsed/>
    <w:qFormat/>
    <w:uiPriority w:val="39"/>
    <w:pPr>
      <w:ind w:left="3360" w:leftChars="1600"/>
    </w:pPr>
    <w:rPr>
      <w:szCs w:val="22"/>
      <w14:ligatures w14:val="standardContextual"/>
    </w:rPr>
  </w:style>
  <w:style w:type="paragraph" w:styleId="16">
    <w:name w:val="Normal (Web)"/>
    <w:basedOn w:val="1"/>
    <w:qFormat/>
    <w:uiPriority w:val="0"/>
    <w:pPr>
      <w:spacing w:before="100" w:beforeAutospacing="1" w:after="100" w:afterAutospacing="1"/>
      <w:jc w:val="left"/>
    </w:pPr>
    <w:rPr>
      <w:rFonts w:cs="Times New Roman"/>
      <w:kern w:val="0"/>
      <w:sz w:val="24"/>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99"/>
    <w:rPr>
      <w:color w:val="0000FF"/>
      <w:u w:val="single"/>
    </w:rPr>
  </w:style>
  <w:style w:type="paragraph" w:customStyle="1" w:styleId="21">
    <w:name w:val="WPSOffice手动目录 1"/>
    <w:qFormat/>
    <w:uiPriority w:val="0"/>
    <w:rPr>
      <w:rFonts w:asciiTheme="minorHAnsi" w:hAnsiTheme="minorHAnsi" w:eastAsiaTheme="minorEastAsia" w:cstheme="minorBidi"/>
      <w:lang w:val="en-US" w:eastAsia="zh-CN" w:bidi="ar-SA"/>
    </w:rPr>
  </w:style>
  <w:style w:type="character" w:customStyle="1" w:styleId="22">
    <w:name w:val="标题 3 字符"/>
    <w:basedOn w:val="19"/>
    <w:link w:val="4"/>
    <w:qFormat/>
    <w:uiPriority w:val="9"/>
    <w:rPr>
      <w:b/>
      <w:bCs/>
      <w:sz w:val="32"/>
      <w:szCs w:val="32"/>
    </w:rPr>
  </w:style>
  <w:style w:type="paragraph" w:customStyle="1" w:styleId="23">
    <w:name w:val="Body text|2"/>
    <w:basedOn w:val="1"/>
    <w:qFormat/>
    <w:uiPriority w:val="0"/>
    <w:pPr>
      <w:spacing w:after="120"/>
      <w:jc w:val="center"/>
    </w:pPr>
    <w:rPr>
      <w:rFonts w:ascii="宋体" w:hAnsi="宋体" w:eastAsia="宋体" w:cs="宋体"/>
      <w:color w:val="5786AF"/>
      <w:sz w:val="38"/>
      <w:szCs w:val="38"/>
      <w:lang w:val="zh-TW" w:eastAsia="zh-TW" w:bidi="zh-TW"/>
    </w:rPr>
  </w:style>
  <w:style w:type="paragraph" w:customStyle="1" w:styleId="24">
    <w:name w:val="Body text|1"/>
    <w:basedOn w:val="1"/>
    <w:qFormat/>
    <w:uiPriority w:val="0"/>
    <w:pPr>
      <w:spacing w:after="120" w:line="254" w:lineRule="auto"/>
      <w:jc w:val="center"/>
    </w:pPr>
    <w:rPr>
      <w:rFonts w:ascii="宋体" w:hAnsi="宋体" w:eastAsia="宋体" w:cs="宋体"/>
      <w:color w:val="87A0B3"/>
      <w:sz w:val="17"/>
      <w:szCs w:val="17"/>
      <w:lang w:val="zh-TW" w:eastAsia="zh-TW" w:bidi="zh-TW"/>
    </w:rPr>
  </w:style>
  <w:style w:type="paragraph" w:customStyle="1" w:styleId="25">
    <w:name w:val="Picture caption|1"/>
    <w:basedOn w:val="1"/>
    <w:qFormat/>
    <w:uiPriority w:val="0"/>
    <w:pPr>
      <w:spacing w:line="211" w:lineRule="exact"/>
      <w:jc w:val="center"/>
    </w:pPr>
    <w:rPr>
      <w:rFonts w:ascii="宋体" w:hAnsi="宋体" w:eastAsia="宋体" w:cs="宋体"/>
      <w:color w:val="87A0B3"/>
      <w:sz w:val="17"/>
      <w:szCs w:val="17"/>
      <w:lang w:val="zh-TW" w:eastAsia="zh-TW" w:bidi="zh-TW"/>
    </w:rPr>
  </w:style>
  <w:style w:type="character" w:customStyle="1" w:styleId="26">
    <w:name w:val="标题 1 字符"/>
    <w:link w:val="2"/>
    <w:qFormat/>
    <w:uiPriority w:val="9"/>
    <w:rPr>
      <w:b/>
      <w:bCs/>
      <w:kern w:val="44"/>
      <w:sz w:val="44"/>
      <w:szCs w:val="44"/>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Unresolved Mention"/>
    <w:basedOn w:val="19"/>
    <w:semiHidden/>
    <w:unhideWhenUsed/>
    <w:uiPriority w:val="99"/>
    <w:rPr>
      <w:color w:val="605E5C"/>
      <w:shd w:val="clear" w:color="auto" w:fill="E1DFDD"/>
    </w:rPr>
  </w:style>
  <w:style w:type="character" w:customStyle="1" w:styleId="29">
    <w:name w:val="页脚 字符"/>
    <w:basedOn w:val="19"/>
    <w:link w:val="9"/>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82848-06FA-46E3-BDE4-B3F91974F127}">
  <ds:schemaRefs/>
</ds:datastoreItem>
</file>

<file path=docProps/app.xml><?xml version="1.0" encoding="utf-8"?>
<Properties xmlns="http://schemas.openxmlformats.org/officeDocument/2006/extended-properties" xmlns:vt="http://schemas.openxmlformats.org/officeDocument/2006/docPropsVTypes">
  <Template>Normal</Template>
  <Pages>50</Pages>
  <Words>19664</Words>
  <Characters>19896</Characters>
  <Lines>31</Lines>
  <Paragraphs>9</Paragraphs>
  <TotalTime>2</TotalTime>
  <ScaleCrop>false</ScaleCrop>
  <LinksUpToDate>false</LinksUpToDate>
  <CharactersWithSpaces>20103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2023-05-18T09:29:00Z</dcterms:created>
  <dc:creator>Administrator.PC-20200624JQIE</dc:creator>
  <cp:lastModifiedBy>Administrator</cp:lastModifiedBy>
  <cp:lastPrinted>2023-05-23T02:34:00Z</cp:lastPrinted>
  <dcterms:modified xsi:type="dcterms:W3CDTF">2023-06-07T08:23:46Z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371A625991E54B7D8A6CC0AFCEF0BDD3_13</vt:lpwstr>
  </property>
</Properties>
</file>