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D4" w:rsidRDefault="007770D4" w:rsidP="00DD79E3">
      <w:pPr>
        <w:spacing w:line="520" w:lineRule="exact"/>
        <w:rPr>
          <w:rFonts w:ascii="方正小标宋简体" w:eastAsia="方正小标宋简体"/>
          <w:sz w:val="44"/>
          <w:szCs w:val="44"/>
        </w:rPr>
      </w:pPr>
    </w:p>
    <w:p w:rsidR="007770D4" w:rsidRPr="005B74AD" w:rsidRDefault="005B74AD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  <w:r w:rsidRPr="005B74AD">
        <w:rPr>
          <w:rFonts w:ascii="仿宋" w:eastAsia="仿宋" w:hAnsi="仿宋" w:hint="eastAsia"/>
          <w:sz w:val="32"/>
          <w:szCs w:val="32"/>
        </w:rPr>
        <w:t>阜审改办</w:t>
      </w:r>
      <w:r w:rsidR="00352CCF">
        <w:rPr>
          <w:rFonts w:ascii="仿宋" w:eastAsia="仿宋" w:hAnsi="仿宋" w:hint="eastAsia"/>
          <w:sz w:val="32"/>
        </w:rPr>
        <w:t>﹝2019﹞</w:t>
      </w:r>
      <w:r w:rsidRPr="005B74AD">
        <w:rPr>
          <w:rFonts w:ascii="仿宋" w:eastAsia="仿宋" w:hAnsi="仿宋" w:hint="eastAsia"/>
          <w:sz w:val="32"/>
          <w:szCs w:val="32"/>
        </w:rPr>
        <w:t>1号</w:t>
      </w:r>
    </w:p>
    <w:p w:rsidR="007770D4" w:rsidRDefault="007770D4">
      <w:pPr>
        <w:spacing w:line="540" w:lineRule="exact"/>
        <w:rPr>
          <w:rFonts w:ascii="仿宋_GB2312" w:eastAsia="仿宋_GB2312"/>
          <w:sz w:val="44"/>
          <w:szCs w:val="44"/>
        </w:rPr>
      </w:pPr>
    </w:p>
    <w:p w:rsidR="007770D4" w:rsidRDefault="00397E15">
      <w:pPr>
        <w:spacing w:line="54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ascii="方正小标宋简体" w:eastAsia="方正小标宋简体" w:hint="eastAsia"/>
          <w:spacing w:val="-10"/>
          <w:sz w:val="44"/>
          <w:szCs w:val="44"/>
        </w:rPr>
        <w:t>阜平县行政审批制度改革工作领导小组办公室</w:t>
      </w:r>
    </w:p>
    <w:p w:rsidR="007770D4" w:rsidRDefault="00397E15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关于承接保定市向县（市、区）下放行政许可事项及进一步规范县本级行政许可事项目录的</w:t>
      </w:r>
    </w:p>
    <w:p w:rsidR="007770D4" w:rsidRDefault="00397E15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通  知</w:t>
      </w:r>
    </w:p>
    <w:p w:rsidR="007770D4" w:rsidRDefault="007770D4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7770D4" w:rsidRDefault="00397E1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县政府相关部门：</w:t>
      </w:r>
    </w:p>
    <w:p w:rsidR="007770D4" w:rsidRDefault="00397E1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为全面做好保定市行政审批制度改革工作领导小组办公室《关于进一步规范调整市本级行政许可事项目录的通知》（保审改办</w:t>
      </w:r>
      <w:r w:rsidR="00352CCF">
        <w:rPr>
          <w:rFonts w:ascii="仿宋" w:eastAsia="仿宋" w:hAnsi="仿宋" w:hint="eastAsia"/>
          <w:sz w:val="32"/>
        </w:rPr>
        <w:t>﹝2019﹞</w:t>
      </w:r>
      <w:r>
        <w:rPr>
          <w:rFonts w:ascii="仿宋_GB2312" w:eastAsia="仿宋_GB2312" w:hint="eastAsia"/>
          <w:sz w:val="32"/>
          <w:szCs w:val="32"/>
        </w:rPr>
        <w:t>8号）要求，进一步规范县本级行政许可事项目录，经研究，承接市下放的4项行政许可事项，对49项行政许可事项进行调整。现将有关事宜通知如下：</w:t>
      </w:r>
    </w:p>
    <w:p w:rsidR="007770D4" w:rsidRDefault="00397E1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一、衔接落实市下放事项。</w:t>
      </w:r>
      <w:r>
        <w:rPr>
          <w:rFonts w:ascii="仿宋_GB2312" w:eastAsia="仿宋_GB2312" w:hint="eastAsia"/>
          <w:sz w:val="32"/>
          <w:szCs w:val="32"/>
        </w:rPr>
        <w:t>对应保定市向县（市、区）下放的7项行政许可事项及保定市历年下放的38项行政许可事项，对涉及我县的4项行政许可事项全部进行衔接。</w:t>
      </w:r>
    </w:p>
    <w:p w:rsidR="007770D4" w:rsidRDefault="00397E15">
      <w:pPr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二、清理规范行政许可事项。</w:t>
      </w:r>
      <w:r>
        <w:rPr>
          <w:rFonts w:ascii="仿宋_GB2312" w:eastAsia="仿宋_GB2312" w:hint="eastAsia"/>
          <w:sz w:val="32"/>
          <w:szCs w:val="32"/>
        </w:rPr>
        <w:t>按照动态调整的政策要求，不再保留因法律法规及相关政策取消或调整（县级不再审批）的13项行政许可事项。同时，将县本级内容关联、设定依据相同或相近的36项行政许可事项进行优化整合，整合为16项。</w:t>
      </w:r>
    </w:p>
    <w:p w:rsidR="007770D4" w:rsidRDefault="00397E15">
      <w:pPr>
        <w:spacing w:line="500" w:lineRule="exact"/>
        <w:ind w:firstLine="660"/>
        <w:rPr>
          <w:rFonts w:ascii="仿宋_GB2312" w:eastAsia="仿宋_GB2312"/>
          <w:spacing w:val="-6"/>
          <w:sz w:val="32"/>
        </w:rPr>
      </w:pPr>
      <w:r>
        <w:rPr>
          <w:rFonts w:ascii="黑体" w:eastAsia="黑体" w:hAnsi="黑体" w:hint="eastAsia"/>
          <w:sz w:val="32"/>
          <w:szCs w:val="32"/>
        </w:rPr>
        <w:t>三、确保衔接调整落实到位。</w:t>
      </w:r>
      <w:r>
        <w:rPr>
          <w:rFonts w:ascii="仿宋_GB2312" w:eastAsia="仿宋_GB2312" w:hint="eastAsia"/>
          <w:sz w:val="32"/>
          <w:szCs w:val="32"/>
        </w:rPr>
        <w:t>各单位要在本通知印发15日内，将本部门的行政许可事项衔接调整到位，并向社会公开。对下放的事项，要承接落实到位，防止出现审批脱节。对取消的事项，要坚决停止审批，完善事中事后监管措施，防止监管缺位。对按照法律法规优化整合的事项，要及时调整相应受理要件、办事流程、办理时限等要素。</w:t>
      </w:r>
    </w:p>
    <w:p w:rsidR="007770D4" w:rsidRDefault="00397E15">
      <w:pPr>
        <w:spacing w:line="500" w:lineRule="exact"/>
        <w:ind w:firstLine="660"/>
        <w:rPr>
          <w:rFonts w:ascii="仿宋_GB2312" w:eastAsia="仿宋_GB2312"/>
          <w:spacing w:val="-6"/>
          <w:sz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四、及时调整行政许可事项目录。</w:t>
      </w:r>
      <w:r>
        <w:rPr>
          <w:rFonts w:ascii="仿宋_GB2312" w:eastAsia="仿宋_GB2312" w:hint="eastAsia"/>
          <w:sz w:val="32"/>
          <w:szCs w:val="32"/>
        </w:rPr>
        <w:t>各单位要对照县级调整事项，相应修订本部门行政放可事项目录。在本通知印发后20日内，</w:t>
      </w:r>
      <w:r>
        <w:rPr>
          <w:rFonts w:ascii="仿宋_GB2312" w:eastAsia="仿宋_GB2312" w:hint="eastAsia"/>
          <w:spacing w:val="-6"/>
          <w:sz w:val="32"/>
        </w:rPr>
        <w:t>登陆“河北省行政许可目录管理系统”，完成本单位“系统”中所涉及事项的修改，按程序提交审核、更新。</w:t>
      </w:r>
    </w:p>
    <w:p w:rsidR="007770D4" w:rsidRDefault="00397E15">
      <w:pPr>
        <w:spacing w:line="500" w:lineRule="exact"/>
        <w:ind w:firstLine="660"/>
        <w:rPr>
          <w:rFonts w:ascii="仿宋_GB2312" w:eastAsia="仿宋_GB2312"/>
          <w:spacing w:val="-6"/>
          <w:sz w:val="32"/>
        </w:rPr>
      </w:pPr>
      <w:r>
        <w:rPr>
          <w:rFonts w:ascii="仿宋_GB2312" w:eastAsia="仿宋_GB2312" w:hint="eastAsia"/>
          <w:spacing w:val="-6"/>
          <w:sz w:val="32"/>
        </w:rPr>
        <w:t>今后，各单位要及时掌握法律法规修订、取消下放等情况，凡需要对行政许可事项进行新设、取消或者修改名称、设定依据、实施部门等要素调整的，按程序报县审改办审核，及时登录“河北省行政许可目录管理系统”调整更新信息，确保行政许可事项目录的完整性、时效性。</w:t>
      </w:r>
    </w:p>
    <w:p w:rsidR="007770D4" w:rsidRDefault="007770D4">
      <w:pPr>
        <w:spacing w:line="500" w:lineRule="exact"/>
        <w:ind w:firstLine="640"/>
        <w:rPr>
          <w:rFonts w:ascii="黑体" w:eastAsia="黑体" w:hAnsi="黑体"/>
          <w:sz w:val="32"/>
          <w:szCs w:val="32"/>
        </w:rPr>
      </w:pPr>
    </w:p>
    <w:p w:rsidR="007770D4" w:rsidRDefault="00397E15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  <w:r>
        <w:rPr>
          <w:rFonts w:ascii="仿宋_GB2312" w:eastAsia="仿宋_GB2312" w:hAnsi="宋体" w:cs="宋体" w:hint="eastAsia"/>
          <w:sz w:val="32"/>
          <w:szCs w:val="32"/>
        </w:rPr>
        <w:t>阜平县承接市级下放行政许可事项目录（共4项）</w:t>
      </w:r>
    </w:p>
    <w:p w:rsidR="007770D4" w:rsidRDefault="00397E15">
      <w:pPr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附件2：阜平县县本级根据法律法规及相关政策调整规范事项目录（共13项）</w:t>
      </w:r>
    </w:p>
    <w:p w:rsidR="007770D4" w:rsidRDefault="00397E15">
      <w:pPr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附件3：阜平县县本级优化整合的行政许可事项目录（共16项）</w:t>
      </w:r>
    </w:p>
    <w:p w:rsidR="007770D4" w:rsidRDefault="00397E15">
      <w:pPr>
        <w:spacing w:line="500" w:lineRule="exact"/>
        <w:ind w:firstLineChars="200" w:firstLine="640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附件4：阜平县行政许可事项目录（共28</w:t>
      </w:r>
      <w:r w:rsidR="00866556"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项）</w:t>
      </w:r>
    </w:p>
    <w:p w:rsidR="007770D4" w:rsidRDefault="007770D4" w:rsidP="009F4AD0">
      <w:pPr>
        <w:spacing w:line="500" w:lineRule="exact"/>
        <w:rPr>
          <w:rFonts w:ascii="仿宋_GB2312" w:eastAsia="仿宋_GB2312" w:hAnsi="仿宋_GB2312" w:cs="仿宋_GB2312"/>
          <w:spacing w:val="-20"/>
          <w:sz w:val="32"/>
          <w:szCs w:val="32"/>
        </w:rPr>
      </w:pPr>
    </w:p>
    <w:p w:rsidR="007770D4" w:rsidRDefault="00397E15">
      <w:pPr>
        <w:spacing w:line="500" w:lineRule="exact"/>
        <w:ind w:firstLineChars="1050" w:firstLine="2940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阜平县行政审批制度改革工作领导小组办公室</w:t>
      </w:r>
    </w:p>
    <w:p w:rsidR="007770D4" w:rsidRPr="009F4AD0" w:rsidRDefault="00397E15" w:rsidP="009F4AD0">
      <w:pPr>
        <w:spacing w:line="50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2019年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月9日</w:t>
      </w:r>
      <w:bookmarkStart w:id="0" w:name="_GoBack"/>
      <w:bookmarkEnd w:id="0"/>
    </w:p>
    <w:sectPr w:rsidR="007770D4" w:rsidRPr="009F4AD0" w:rsidSect="003D7995">
      <w:footerReference w:type="default" r:id="rId8"/>
      <w:pgSz w:w="11906" w:h="16838"/>
      <w:pgMar w:top="1588" w:right="1418" w:bottom="1418" w:left="1418" w:header="709" w:footer="709" w:gutter="0"/>
      <w:pgNumType w:fmt="numberInDash" w:start="73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ADC" w:rsidRDefault="00941ADC" w:rsidP="007770D4">
      <w:r>
        <w:separator/>
      </w:r>
    </w:p>
  </w:endnote>
  <w:endnote w:type="continuationSeparator" w:id="0">
    <w:p w:rsidR="00941ADC" w:rsidRDefault="00941ADC" w:rsidP="00777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07" w:rsidRDefault="00A07C07">
    <w:pPr>
      <w:pStyle w:val="a4"/>
      <w:jc w:val="center"/>
    </w:pPr>
  </w:p>
  <w:p w:rsidR="007770D4" w:rsidRDefault="007770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ADC" w:rsidRDefault="00941ADC" w:rsidP="007770D4">
      <w:r>
        <w:separator/>
      </w:r>
    </w:p>
  </w:footnote>
  <w:footnote w:type="continuationSeparator" w:id="0">
    <w:p w:rsidR="00941ADC" w:rsidRDefault="00941ADC" w:rsidP="00777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A700D9"/>
    <w:rsid w:val="00147D4E"/>
    <w:rsid w:val="0015096C"/>
    <w:rsid w:val="00167364"/>
    <w:rsid w:val="00322FB6"/>
    <w:rsid w:val="00352CCF"/>
    <w:rsid w:val="00397E15"/>
    <w:rsid w:val="003D7995"/>
    <w:rsid w:val="003E0AC4"/>
    <w:rsid w:val="00440112"/>
    <w:rsid w:val="00456596"/>
    <w:rsid w:val="0052064F"/>
    <w:rsid w:val="005B74AD"/>
    <w:rsid w:val="006A1D4F"/>
    <w:rsid w:val="006E0D8A"/>
    <w:rsid w:val="007770D4"/>
    <w:rsid w:val="00793CB1"/>
    <w:rsid w:val="007A2FF3"/>
    <w:rsid w:val="007E273E"/>
    <w:rsid w:val="0080759A"/>
    <w:rsid w:val="00866556"/>
    <w:rsid w:val="008A66C3"/>
    <w:rsid w:val="0090569C"/>
    <w:rsid w:val="00941ADC"/>
    <w:rsid w:val="009B5533"/>
    <w:rsid w:val="009F4AD0"/>
    <w:rsid w:val="00A07C07"/>
    <w:rsid w:val="00A25BEA"/>
    <w:rsid w:val="00BD0A39"/>
    <w:rsid w:val="00C853A6"/>
    <w:rsid w:val="00D1454F"/>
    <w:rsid w:val="00D37EFE"/>
    <w:rsid w:val="00DD79E3"/>
    <w:rsid w:val="00E03F4C"/>
    <w:rsid w:val="00E12E20"/>
    <w:rsid w:val="00E9791B"/>
    <w:rsid w:val="00EA4AA8"/>
    <w:rsid w:val="00EA658A"/>
    <w:rsid w:val="00EE198B"/>
    <w:rsid w:val="00F24324"/>
    <w:rsid w:val="09941928"/>
    <w:rsid w:val="0A260050"/>
    <w:rsid w:val="0A3C48AB"/>
    <w:rsid w:val="0B3F60C0"/>
    <w:rsid w:val="0E49328D"/>
    <w:rsid w:val="17D67765"/>
    <w:rsid w:val="1C3E4B8B"/>
    <w:rsid w:val="1CE5416B"/>
    <w:rsid w:val="22E04A4D"/>
    <w:rsid w:val="238F6A24"/>
    <w:rsid w:val="298035A6"/>
    <w:rsid w:val="2AD23348"/>
    <w:rsid w:val="2C7123DC"/>
    <w:rsid w:val="2ED914D2"/>
    <w:rsid w:val="30EC1A23"/>
    <w:rsid w:val="36DC1AB5"/>
    <w:rsid w:val="395D78C6"/>
    <w:rsid w:val="3E9154A1"/>
    <w:rsid w:val="3EF904C3"/>
    <w:rsid w:val="3FF17416"/>
    <w:rsid w:val="410344C9"/>
    <w:rsid w:val="436B6007"/>
    <w:rsid w:val="44722CBE"/>
    <w:rsid w:val="47A700D9"/>
    <w:rsid w:val="49473AF7"/>
    <w:rsid w:val="55594197"/>
    <w:rsid w:val="56DB2728"/>
    <w:rsid w:val="58234697"/>
    <w:rsid w:val="5C0D7189"/>
    <w:rsid w:val="5C7D6A0C"/>
    <w:rsid w:val="5C8F3099"/>
    <w:rsid w:val="607C15D8"/>
    <w:rsid w:val="60A86EB6"/>
    <w:rsid w:val="611A6B79"/>
    <w:rsid w:val="64BF5C03"/>
    <w:rsid w:val="6DEC7EF8"/>
    <w:rsid w:val="78640EB6"/>
    <w:rsid w:val="7937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0D4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77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770D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rsid w:val="007770D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7770D4"/>
    <w:rPr>
      <w:rFonts w:ascii="Tahoma" w:eastAsia="微软雅黑" w:hAnsi="Tahoma" w:cstheme="minorBidi"/>
      <w:sz w:val="18"/>
      <w:szCs w:val="18"/>
    </w:rPr>
  </w:style>
  <w:style w:type="character" w:customStyle="1" w:styleId="Char1">
    <w:name w:val="页眉 Char"/>
    <w:basedOn w:val="a0"/>
    <w:link w:val="a5"/>
    <w:qFormat/>
    <w:rsid w:val="007770D4"/>
    <w:rPr>
      <w:rFonts w:ascii="Tahoma" w:eastAsia="微软雅黑" w:hAnsi="Tahoma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770D4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AAEE3D-683F-4E23-9A8B-809E31AA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140</Words>
  <Characters>801</Characters>
  <Application>Microsoft Office Word</Application>
  <DocSecurity>0</DocSecurity>
  <Lines>6</Lines>
  <Paragraphs>1</Paragraphs>
  <ScaleCrop>false</ScaleCrop>
  <Company>CHINA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森林猎手</dc:creator>
  <cp:lastModifiedBy>Windows 用户</cp:lastModifiedBy>
  <cp:revision>22</cp:revision>
  <cp:lastPrinted>2019-01-24T06:35:00Z</cp:lastPrinted>
  <dcterms:created xsi:type="dcterms:W3CDTF">2018-12-29T01:37:00Z</dcterms:created>
  <dcterms:modified xsi:type="dcterms:W3CDTF">2019-02-13T02:38:00Z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