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8F8F8"/>
          <w:lang w:val="en-US" w:eastAsia="zh-CN" w:bidi="ar"/>
        </w:rPr>
        <w:t>一、适用范围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本指南适用于事业单位报送并公示事业单位法人年度报告。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二、办事条件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经核准登记的事业单位都应当于每年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日至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  <w:lang w:val="en-US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日，报送上一年度执行《事业单位登记管理暂行条例》及实施细则情况的年度报告，并向社会公示。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44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